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rPr>
        <w:t>Erstgespräch-Leitfaden: 30-Minuten-Plan, 15 Fragen, Einwände</w:t>
      </w:r>
    </w:p>
    <w:p>
      <w:r>
        <w:rPr>
          <w:color w:val="626987"/>
          <w:sz w:val="18"/>
        </w:rPr>
        <w:t>Erstgespräch-Leitfaden · saleswise.io</w:t>
      </w:r>
    </w:p>
    <w:p>
      <w:r>
        <w:rPr>
          <w:b w:val="0"/>
        </w:rPr>
        <w:t>Ein Erstgespräch (im Vertriebsjargon Discovery Call) ist das erste Gespräch zwischen Anbieter und Interessent, in dem du den Bedarf erkundest, bevor es ein Angebot gibt. Es dauert 30 Minuten, klärt Anlass, Problem, Auswirkung und Entscheidungsweg und endet mit einem vereinbarten nächsten Schritt. Es muss nicht verkaufen: Niemand beauftragt eine erklärungsbedürftige Leistung ab 10.000 Euro nach einer halben Stunde mit einem Fremden.</w:t>
      </w:r>
    </w:p>
    <w:p>
      <w:r>
        <w:rPr>
          <w:b w:val="0"/>
        </w:rPr>
        <w:t>Dieser Leitfaden ist zum Ausfüllen gedacht, einmal je Termin. Teil 1 füllst du vor dem Gespräch aus, die Teile 2 bis 6 nimmst du mit ins Gespräch, Teil 7 erledigst du in den 24 Stunden danach.</w:t>
      </w:r>
    </w:p>
    <w:p>
      <w:pPr>
        <w:pStyle w:val="Heading1"/>
      </w:pPr>
      <w:r>
        <w:rPr>
          <w:b w:val="0"/>
        </w:rPr>
        <w:t>1. Briefing vor dem Gespräch</w:t>
      </w:r>
    </w:p>
    <w:p>
      <w:r>
        <w:rPr>
          <w:b w:val="0"/>
        </w:rPr>
        <w:t>Die Qualität eines Erstgesprächs entscheidet sich vor dem Gespräch. 20 Minuten mit dieser Liste reichen. Laut LinkedIn (State of Sales 2022, Deutschland) recherchieren 96 Prozent der besonders erfolgreichen Verkäufer nach eigener Angabe immer, bevor sie einen Zielkunden kontaktieren, im Durchschnitt sind es 88 Prozent (Stand 2022).</w:t>
      </w:r>
    </w:p>
    <w:tbl>
      <w:tblPr>
        <w:tblStyle w:val="TableGrid"/>
        <w:tblW w:type="auto" w:w="0"/>
        <w:tblLook w:firstColumn="1" w:firstRow="1" w:lastColumn="0" w:lastRow="0" w:noHBand="0" w:noVBand="1" w:val="04A0"/>
      </w:tblPr>
      <w:tblGrid>
        <w:gridCol w:w="4873"/>
        <w:gridCol w:w="4873"/>
      </w:tblGrid>
      <w:tr>
        <w:tc>
          <w:tcPr>
            <w:tcW w:type="dxa" w:w="4873"/>
          </w:tcPr>
          <w:p>
            <w:pPr>
              <w:shd w:val="clear" w:color="auto" w:fill="E6E9FB"/>
            </w:pPr>
            <w:r>
              <w:rPr>
                <w:b/>
                <w:sz w:val="19"/>
              </w:rPr>
              <w:t>Feld</w:t>
            </w:r>
          </w:p>
        </w:tc>
        <w:tc>
          <w:tcPr>
            <w:tcW w:type="dxa" w:w="4873"/>
          </w:tcPr>
          <w:p>
            <w:pPr>
              <w:shd w:val="clear" w:color="auto" w:fill="E6E9FB"/>
            </w:pPr>
            <w:r>
              <w:rPr>
                <w:b/>
                <w:sz w:val="19"/>
              </w:rPr>
              <w:t>Deine Angaben</w:t>
            </w:r>
          </w:p>
        </w:tc>
      </w:tr>
      <w:tr>
        <w:tc>
          <w:tcPr>
            <w:tcW w:type="dxa" w:w="4873"/>
          </w:tcPr>
          <w:p>
            <w:r>
              <w:rPr>
                <w:b w:val="0"/>
                <w:sz w:val="19"/>
              </w:rPr>
              <w:t>Unternehmen (Name, Größe, Leistung, Kunden)</w:t>
            </w:r>
          </w:p>
        </w:tc>
        <w:tc>
          <w:tcPr>
            <w:tcW w:type="dxa" w:w="4873"/>
          </w:tcPr>
          <w:p>
            <w:r>
              <w:rPr>
                <w:b w:val="0"/>
                <w:sz w:val="19"/>
                <w:highlight w:val="yellow"/>
              </w:rPr>
              <w:t>[…]</w:t>
            </w:r>
          </w:p>
        </w:tc>
      </w:tr>
      <w:tr>
        <w:tc>
          <w:tcPr>
            <w:tcW w:type="dxa" w:w="4873"/>
          </w:tcPr>
          <w:p>
            <w:r>
              <w:rPr>
                <w:b w:val="0"/>
                <w:sz w:val="19"/>
              </w:rPr>
              <w:t>Anlass: Warum ist das Unternehmen gerade jetzt gesprächsbereit? (neue Vertriebsstelle, Geschäftsführerwechsel, Wachstum, Ausschreibung)</w:t>
            </w:r>
          </w:p>
        </w:tc>
        <w:tc>
          <w:tcPr>
            <w:tcW w:type="dxa" w:w="4873"/>
          </w:tcPr>
          <w:p>
            <w:r>
              <w:rPr>
                <w:b w:val="0"/>
                <w:sz w:val="19"/>
                <w:highlight w:val="yellow"/>
              </w:rPr>
              <w:t>[…]</w:t>
            </w:r>
          </w:p>
        </w:tc>
      </w:tr>
      <w:tr>
        <w:tc>
          <w:tcPr>
            <w:tcW w:type="dxa" w:w="4873"/>
          </w:tcPr>
          <w:p>
            <w:r>
              <w:rPr>
                <w:b w:val="0"/>
                <w:sz w:val="19"/>
              </w:rPr>
              <w:t>Signale: die Belege aus Unternehmensdaten (Stellenanzeige, Handelsregister, Pressemeldung, Website)</w:t>
            </w:r>
          </w:p>
        </w:tc>
        <w:tc>
          <w:tcPr>
            <w:tcW w:type="dxa" w:w="4873"/>
          </w:tcPr>
          <w:p>
            <w:r>
              <w:rPr>
                <w:b w:val="0"/>
                <w:sz w:val="19"/>
                <w:highlight w:val="yellow"/>
              </w:rPr>
              <w:t>[…]</w:t>
            </w:r>
          </w:p>
        </w:tc>
      </w:tr>
      <w:tr>
        <w:tc>
          <w:tcPr>
            <w:tcW w:type="dxa" w:w="4873"/>
          </w:tcPr>
          <w:p>
            <w:r>
              <w:rPr>
                <w:b w:val="0"/>
                <w:sz w:val="19"/>
              </w:rPr>
              <w:t>Gesprächspartner und Rolle: Entscheider, Budgetverantwortlicher oder Vorprüfer? Zeit im Unternehmen, frühere Stationen, eigene Beiträge</w:t>
            </w:r>
          </w:p>
        </w:tc>
        <w:tc>
          <w:tcPr>
            <w:tcW w:type="dxa" w:w="4873"/>
          </w:tcPr>
          <w:p>
            <w:r>
              <w:rPr>
                <w:b w:val="0"/>
                <w:sz w:val="19"/>
                <w:highlight w:val="yellow"/>
              </w:rPr>
              <w:t>[…]</w:t>
            </w:r>
          </w:p>
        </w:tc>
      </w:tr>
      <w:tr>
        <w:tc>
          <w:tcPr>
            <w:tcW w:type="dxa" w:w="4873"/>
          </w:tcPr>
          <w:p>
            <w:r>
              <w:rPr>
                <w:b w:val="0"/>
                <w:sz w:val="19"/>
              </w:rPr>
              <w:t>Weitere Rollen im Buying Center (im Mittelstand oft Geschäftsführung plus Fachleitung, bei größeren Summen der Einkauf)</w:t>
            </w:r>
          </w:p>
        </w:tc>
        <w:tc>
          <w:tcPr>
            <w:tcW w:type="dxa" w:w="4873"/>
          </w:tcPr>
          <w:p>
            <w:r>
              <w:rPr>
                <w:b w:val="0"/>
                <w:sz w:val="19"/>
                <w:highlight w:val="yellow"/>
              </w:rPr>
              <w:t>[…]</w:t>
            </w:r>
          </w:p>
        </w:tc>
      </w:tr>
      <w:tr>
        <w:tc>
          <w:tcPr>
            <w:tcW w:type="dxa" w:w="4873"/>
          </w:tcPr>
          <w:p>
            <w:r>
              <w:rPr>
                <w:b w:val="0"/>
                <w:sz w:val="19"/>
              </w:rPr>
              <w:t>Erkennbare Engpässe</w:t>
            </w:r>
          </w:p>
        </w:tc>
        <w:tc>
          <w:tcPr>
            <w:tcW w:type="dxa" w:w="4873"/>
          </w:tcPr>
          <w:p>
            <w:r>
              <w:rPr>
                <w:b w:val="0"/>
                <w:sz w:val="19"/>
                <w:highlight w:val="yellow"/>
              </w:rPr>
              <w:t>[…]</w:t>
            </w:r>
          </w:p>
        </w:tc>
      </w:tr>
      <w:tr>
        <w:tc>
          <w:tcPr>
            <w:tcW w:type="dxa" w:w="4873"/>
          </w:tcPr>
          <w:p>
            <w:r>
              <w:rPr>
                <w:b w:val="0"/>
                <w:sz w:val="19"/>
              </w:rPr>
              <w:t>Hypothese: Welches Problem hat dieses Unternehmen vermutlich? (eine Vermutung, kein Urteil; im Gespräch prüfst du sie)</w:t>
            </w:r>
          </w:p>
        </w:tc>
        <w:tc>
          <w:tcPr>
            <w:tcW w:type="dxa" w:w="4873"/>
          </w:tcPr>
          <w:p>
            <w:r>
              <w:rPr>
                <w:b w:val="0"/>
                <w:sz w:val="19"/>
                <w:highlight w:val="yellow"/>
              </w:rPr>
              <w:t>[…]</w:t>
            </w:r>
          </w:p>
        </w:tc>
      </w:tr>
      <w:tr>
        <w:tc>
          <w:tcPr>
            <w:tcW w:type="dxa" w:w="4873"/>
          </w:tcPr>
          <w:p>
            <w:r>
              <w:rPr>
                <w:b w:val="0"/>
                <w:sz w:val="19"/>
              </w:rPr>
              <w:t>Fünf bis sieben Fragen aus Teil 3, die zum Anlass passen</w:t>
            </w:r>
          </w:p>
        </w:tc>
        <w:tc>
          <w:tcPr>
            <w:tcW w:type="dxa" w:w="4873"/>
          </w:tcPr>
          <w:p>
            <w:r>
              <w:rPr>
                <w:b w:val="0"/>
                <w:sz w:val="19"/>
                <w:highlight w:val="yellow"/>
              </w:rPr>
              <w:t>[Nummern]</w:t>
            </w:r>
          </w:p>
        </w:tc>
      </w:tr>
      <w:tr>
        <w:tc>
          <w:tcPr>
            <w:tcW w:type="dxa" w:w="4873"/>
          </w:tcPr>
          <w:p>
            <w:r>
              <w:rPr>
                <w:b w:val="0"/>
                <w:sz w:val="19"/>
              </w:rPr>
              <w:t>Preisrahmen, den du nennst, wenn danach gefragt wird (Beispiel für einen vergleichbaren Umfang und wovon der Preis abhängt)</w:t>
            </w:r>
          </w:p>
        </w:tc>
        <w:tc>
          <w:tcPr>
            <w:tcW w:type="dxa" w:w="4873"/>
          </w:tcPr>
          <w:p>
            <w:r>
              <w:rPr>
                <w:b w:val="0"/>
                <w:sz w:val="19"/>
                <w:highlight w:val="yellow"/>
              </w:rPr>
              <w:t>[…]</w:t>
            </w:r>
          </w:p>
        </w:tc>
      </w:tr>
      <w:tr>
        <w:tc>
          <w:tcPr>
            <w:tcW w:type="dxa" w:w="4873"/>
          </w:tcPr>
          <w:p>
            <w:r>
              <w:rPr>
                <w:b w:val="0"/>
                <w:sz w:val="19"/>
              </w:rPr>
              <w:t>Nächster Schritt, den du vorschlägst (Termin, Teilnehmer, Ergebnis)</w:t>
            </w:r>
          </w:p>
        </w:tc>
        <w:tc>
          <w:tcPr>
            <w:tcW w:type="dxa" w:w="4873"/>
          </w:tcPr>
          <w:p>
            <w:r>
              <w:rPr>
                <w:b w:val="0"/>
                <w:sz w:val="19"/>
                <w:highlight w:val="yellow"/>
              </w:rPr>
              <w:t>[…]</w:t>
            </w:r>
          </w:p>
        </w:tc>
      </w:tr>
      <w:tr>
        <w:tc>
          <w:tcPr>
            <w:tcW w:type="dxa" w:w="4873"/>
          </w:tcPr>
          <w:p>
            <w:r>
              <w:rPr>
                <w:b w:val="0"/>
                <w:sz w:val="19"/>
              </w:rPr>
              <w:t>Was dein Gegenüber nach 30 Minuten wissen soll, das er vorher nicht wusste</w:t>
            </w:r>
          </w:p>
        </w:tc>
        <w:tc>
          <w:tcPr>
            <w:tcW w:type="dxa" w:w="4873"/>
          </w:tcPr>
          <w:p>
            <w:r>
              <w:rPr>
                <w:b w:val="0"/>
                <w:sz w:val="19"/>
                <w:highlight w:val="yellow"/>
              </w:rPr>
              <w:t>[…]</w:t>
            </w:r>
          </w:p>
        </w:tc>
      </w:tr>
    </w:tbl>
    <w:p/>
    <w:p>
      <w:pPr>
        <w:pStyle w:val="Heading1"/>
      </w:pPr>
      <w:r>
        <w:rPr>
          <w:b w:val="0"/>
        </w:rPr>
        <w:t>2. Der Aufbau in 30 Minuten</w:t>
      </w:r>
    </w:p>
    <w:p>
      <w:r>
        <w:rPr>
          <w:b w:val="0"/>
        </w:rPr>
        <w:t>30 Minuten sind genug, wenn du sie einteilst. Längere Erstgespräche werden selten tiefer, nur breiter. Der Zeitplan ist eine Vorlage, keine Vorschrift: Spricht dein Gegenüber bei Minute zehn von selbst über die Auswirkungen des Problems, lässt du ihn reden und kürzt später.</w:t>
      </w:r>
    </w:p>
    <w:tbl>
      <w:tblPr>
        <w:tblStyle w:val="TableGrid"/>
        <w:tblW w:type="auto" w:w="0"/>
        <w:tblLook w:firstColumn="1" w:firstRow="1" w:lastColumn="0" w:lastRow="0" w:noHBand="0" w:noVBand="1" w:val="04A0"/>
      </w:tblPr>
      <w:tblGrid>
        <w:gridCol w:w="3249"/>
        <w:gridCol w:w="3249"/>
        <w:gridCol w:w="3249"/>
      </w:tblGrid>
      <w:tr>
        <w:tc>
          <w:tcPr>
            <w:tcW w:type="dxa" w:w="3249"/>
          </w:tcPr>
          <w:p>
            <w:pPr>
              <w:shd w:val="clear" w:color="auto" w:fill="E6E9FB"/>
            </w:pPr>
            <w:r>
              <w:rPr>
                <w:b/>
                <w:sz w:val="19"/>
              </w:rPr>
              <w:t>Minute</w:t>
            </w:r>
          </w:p>
        </w:tc>
        <w:tc>
          <w:tcPr>
            <w:tcW w:type="dxa" w:w="3249"/>
          </w:tcPr>
          <w:p>
            <w:pPr>
              <w:shd w:val="clear" w:color="auto" w:fill="E6E9FB"/>
            </w:pPr>
            <w:r>
              <w:rPr>
                <w:b/>
                <w:sz w:val="19"/>
              </w:rPr>
              <w:t>Ziel</w:t>
            </w:r>
          </w:p>
        </w:tc>
        <w:tc>
          <w:tcPr>
            <w:tcW w:type="dxa" w:w="3249"/>
          </w:tcPr>
          <w:p>
            <w:pPr>
              <w:shd w:val="clear" w:color="auto" w:fill="E6E9FB"/>
            </w:pPr>
            <w:r>
              <w:rPr>
                <w:b/>
                <w:sz w:val="19"/>
              </w:rPr>
              <w:t>Fragen und Sätze</w:t>
            </w:r>
          </w:p>
        </w:tc>
      </w:tr>
      <w:tr>
        <w:tc>
          <w:tcPr>
            <w:tcW w:type="dxa" w:w="3249"/>
          </w:tcPr>
          <w:p>
            <w:r>
              <w:rPr>
                <w:b w:val="0"/>
                <w:sz w:val="19"/>
              </w:rPr>
              <w:t>0 bis 3</w:t>
            </w:r>
          </w:p>
        </w:tc>
        <w:tc>
          <w:tcPr>
            <w:tcW w:type="dxa" w:w="3249"/>
          </w:tcPr>
          <w:p>
            <w:r>
              <w:rPr>
                <w:b w:val="0"/>
                <w:sz w:val="19"/>
              </w:rPr>
              <w:t>Rahmen setzen, Anlass bestätigen</w:t>
            </w:r>
          </w:p>
        </w:tc>
        <w:tc>
          <w:tcPr>
            <w:tcW w:type="dxa" w:w="3249"/>
          </w:tcPr>
          <w:p>
            <w:r>
              <w:rPr>
                <w:b w:val="0"/>
                <w:sz w:val="19"/>
              </w:rPr>
              <w:t xml:space="preserve">„Ich hatte Sie wegen </w:t>
            </w:r>
            <w:r>
              <w:rPr>
                <w:b w:val="0"/>
                <w:sz w:val="19"/>
                <w:highlight w:val="yellow"/>
              </w:rPr>
              <w:t>[Anlass]</w:t>
            </w:r>
            <w:r>
              <w:rPr>
                <w:b w:val="0"/>
                <w:sz w:val="19"/>
              </w:rPr>
              <w:t xml:space="preserve"> angeschrieben. Passt es, wenn wir heute klären, ob wir dabei helfen können, und am Ende entscheiden, ob ein nächster Schritt sinnvoll ist?“</w:t>
            </w:r>
          </w:p>
        </w:tc>
      </w:tr>
      <w:tr>
        <w:tc>
          <w:tcPr>
            <w:tcW w:type="dxa" w:w="3249"/>
          </w:tcPr>
          <w:p>
            <w:r>
              <w:rPr>
                <w:b w:val="0"/>
                <w:sz w:val="19"/>
              </w:rPr>
              <w:t>3 bis 9</w:t>
            </w:r>
          </w:p>
        </w:tc>
        <w:tc>
          <w:tcPr>
            <w:tcW w:type="dxa" w:w="3249"/>
          </w:tcPr>
          <w:p>
            <w:r>
              <w:rPr>
                <w:b w:val="0"/>
                <w:sz w:val="19"/>
              </w:rPr>
              <w:t>Situation verstehen</w:t>
            </w:r>
          </w:p>
        </w:tc>
        <w:tc>
          <w:tcPr>
            <w:tcW w:type="dxa" w:w="3249"/>
          </w:tcPr>
          <w:p>
            <w:r>
              <w:rPr>
                <w:b w:val="0"/>
                <w:sz w:val="19"/>
              </w:rPr>
              <w:t xml:space="preserve">„Wie läuft </w:t>
            </w:r>
            <w:r>
              <w:rPr>
                <w:b w:val="0"/>
                <w:sz w:val="19"/>
                <w:highlight w:val="yellow"/>
              </w:rPr>
              <w:t>[Thema]</w:t>
            </w:r>
            <w:r>
              <w:rPr>
                <w:b w:val="0"/>
                <w:sz w:val="19"/>
              </w:rPr>
              <w:t xml:space="preserve"> bei Ihnen heute?“ „Wer ist daran beteiligt?“ „Was hat sich zuletzt geändert?“</w:t>
            </w:r>
          </w:p>
        </w:tc>
      </w:tr>
      <w:tr>
        <w:tc>
          <w:tcPr>
            <w:tcW w:type="dxa" w:w="3249"/>
          </w:tcPr>
          <w:p>
            <w:r>
              <w:rPr>
                <w:b w:val="0"/>
                <w:sz w:val="19"/>
              </w:rPr>
              <w:t>9 bis 16</w:t>
            </w:r>
          </w:p>
        </w:tc>
        <w:tc>
          <w:tcPr>
            <w:tcW w:type="dxa" w:w="3249"/>
          </w:tcPr>
          <w:p>
            <w:r>
              <w:rPr>
                <w:b w:val="0"/>
                <w:sz w:val="19"/>
              </w:rPr>
              <w:t>Problem und Auswirkung</w:t>
            </w:r>
          </w:p>
        </w:tc>
        <w:tc>
          <w:tcPr>
            <w:tcW w:type="dxa" w:w="3249"/>
          </w:tcPr>
          <w:p>
            <w:r>
              <w:rPr>
                <w:b w:val="0"/>
                <w:sz w:val="19"/>
              </w:rPr>
              <w:t>„Wo hakt es am meisten?“ „Was haben Sie schon versucht?“ „Was bedeutet das für die Auftragslage im nächsten Jahr?“</w:t>
            </w:r>
          </w:p>
        </w:tc>
      </w:tr>
      <w:tr>
        <w:tc>
          <w:tcPr>
            <w:tcW w:type="dxa" w:w="3249"/>
          </w:tcPr>
          <w:p>
            <w:r>
              <w:rPr>
                <w:b w:val="0"/>
                <w:sz w:val="19"/>
              </w:rPr>
              <w:t>16 bis 21</w:t>
            </w:r>
          </w:p>
        </w:tc>
        <w:tc>
          <w:tcPr>
            <w:tcW w:type="dxa" w:w="3249"/>
          </w:tcPr>
          <w:p>
            <w:r>
              <w:rPr>
                <w:b w:val="0"/>
                <w:sz w:val="19"/>
              </w:rPr>
              <w:t>Zielbild und Entscheidungsweg</w:t>
            </w:r>
          </w:p>
        </w:tc>
        <w:tc>
          <w:tcPr>
            <w:tcW w:type="dxa" w:w="3249"/>
          </w:tcPr>
          <w:p>
            <w:r>
              <w:rPr>
                <w:b w:val="0"/>
                <w:sz w:val="19"/>
              </w:rPr>
              <w:t>„Woran würden Sie in sechs Monaten merken, dass es gelöst ist?“ „Wer entscheidet mit, und wie läuft so eine Entscheidung bei Ihnen ab?“</w:t>
            </w:r>
          </w:p>
        </w:tc>
      </w:tr>
      <w:tr>
        <w:tc>
          <w:tcPr>
            <w:tcW w:type="dxa" w:w="3249"/>
          </w:tcPr>
          <w:p>
            <w:r>
              <w:rPr>
                <w:b w:val="0"/>
                <w:sz w:val="19"/>
              </w:rPr>
              <w:t>21 bis 27</w:t>
            </w:r>
          </w:p>
        </w:tc>
        <w:tc>
          <w:tcPr>
            <w:tcW w:type="dxa" w:w="3249"/>
          </w:tcPr>
          <w:p>
            <w:r>
              <w:rPr>
                <w:b w:val="0"/>
                <w:sz w:val="19"/>
              </w:rPr>
              <w:t>Passung zeigen</w:t>
            </w:r>
          </w:p>
        </w:tc>
        <w:tc>
          <w:tcPr>
            <w:tcW w:type="dxa" w:w="3249"/>
          </w:tcPr>
          <w:p>
            <w:r>
              <w:rPr>
                <w:b w:val="0"/>
                <w:sz w:val="19"/>
              </w:rPr>
              <w:t>Nur die zwei oder drei Punkte deines Angebots, die zu dem passen, was du gehört hast. Preisrahmen nennen, wenn danach gefragt wird.</w:t>
            </w:r>
          </w:p>
        </w:tc>
      </w:tr>
      <w:tr>
        <w:tc>
          <w:tcPr>
            <w:tcW w:type="dxa" w:w="3249"/>
          </w:tcPr>
          <w:p>
            <w:r>
              <w:rPr>
                <w:b w:val="0"/>
                <w:sz w:val="19"/>
              </w:rPr>
              <w:t>27 bis 30</w:t>
            </w:r>
          </w:p>
        </w:tc>
        <w:tc>
          <w:tcPr>
            <w:tcW w:type="dxa" w:w="3249"/>
          </w:tcPr>
          <w:p>
            <w:r>
              <w:rPr>
                <w:b w:val="0"/>
                <w:sz w:val="19"/>
              </w:rPr>
              <w:t>Nächsten Schritt vereinbaren</w:t>
            </w:r>
          </w:p>
        </w:tc>
        <w:tc>
          <w:tcPr>
            <w:tcW w:type="dxa" w:w="3249"/>
          </w:tcPr>
          <w:p>
            <w:r>
              <w:rPr>
                <w:b w:val="0"/>
                <w:sz w:val="19"/>
              </w:rPr>
              <w:t xml:space="preserve">„Aus meiner Sicht wäre der nächste Schritt </w:t>
            </w:r>
            <w:r>
              <w:rPr>
                <w:b w:val="0"/>
                <w:sz w:val="19"/>
                <w:highlight w:val="yellow"/>
              </w:rPr>
              <w:t>[…]</w:t>
            </w:r>
            <w:r>
              <w:rPr>
                <w:b w:val="0"/>
                <w:sz w:val="19"/>
              </w:rPr>
              <w:t>. Was halten Sie davon?“ Termin, Teilnehmer, was bis dahin passiert.</w:t>
            </w:r>
          </w:p>
        </w:tc>
      </w:tr>
    </w:tbl>
    <w:p/>
    <w:p>
      <w:r>
        <w:rPr>
          <w:b w:val="0"/>
        </w:rPr>
        <w:t>Die Reihenfolge ist kein Zufall. Neil Rackham und sein Team bei Huthwaite haben nach Angaben des Verlags mehr als 35.000 Verkaufsgespräche von 10.000 Verkäufern in 23 Ländern untersucht (SPIN Selling, Routledge, Ausgabe 1995). Ihr Befund: Was bei kleinen Verkäufen funktioniert, funktioniert bei großen Aufträgen nicht. Daraus entstand die Reihenfolge Situation, Problem, Auswirkung, Nutzen. Erst danach kommt das Angebot.</w:t>
      </w:r>
    </w:p>
    <w:p>
      <w:pPr>
        <w:pStyle w:val="Heading1"/>
      </w:pPr>
      <w:r>
        <w:rPr>
          <w:b w:val="0"/>
        </w:rPr>
        <w:t>3. 15 Fragen zur Bedarfsanalyse</w:t>
      </w:r>
    </w:p>
    <w:p>
      <w:r>
        <w:rPr>
          <w:b w:val="0"/>
        </w:rPr>
        <w:t>Du stellst nicht alle 15, sondern wählst vor dem Gespräch fünf bis sieben aus, die zum Anlass passen (Kästchen), und hältst den Rest in Reserve. Die Fragen 1, 2 und 9 sind für das Thema Neukundengewinnung formuliert; die gelben Stellen ersetzt du durch deinen Bereich.</w:t>
      </w:r>
    </w:p>
    <w:p>
      <w:pPr>
        <w:pStyle w:val="Heading2"/>
      </w:pPr>
      <w:r>
        <w:rPr>
          <w:b w:val="0"/>
        </w:rPr>
        <w:t>Situation</w:t>
      </w:r>
    </w:p>
    <w:p>
      <w:pPr>
        <w:spacing w:after="60"/>
        <w:ind w:left="340" w:hanging="340"/>
      </w:pPr>
      <w:r>
        <w:rPr>
          <w:b w:val="0"/>
        </w:rPr>
        <w:t>☐</w:t>
        <w:tab/>
        <w:t xml:space="preserve">1. „Wie ist </w:t>
      </w:r>
      <w:r>
        <w:rPr>
          <w:b w:val="0"/>
          <w:highlight w:val="yellow"/>
        </w:rPr>
        <w:t>[Ihr Vertrieb]</w:t>
      </w:r>
      <w:r>
        <w:rPr>
          <w:b w:val="0"/>
        </w:rPr>
        <w:t xml:space="preserve"> heute aufgestellt, wer macht was?“</w:t>
      </w:r>
    </w:p>
    <w:p>
      <w:pPr>
        <w:spacing w:after="60"/>
        <w:ind w:left="340" w:hanging="340"/>
      </w:pPr>
      <w:r>
        <w:rPr>
          <w:b w:val="0"/>
        </w:rPr>
        <w:t>☐</w:t>
        <w:tab/>
        <w:t xml:space="preserve">2. „Woher kommen </w:t>
      </w:r>
      <w:r>
        <w:rPr>
          <w:b w:val="0"/>
          <w:highlight w:val="yellow"/>
        </w:rPr>
        <w:t>[Ihre Neukunden]</w:t>
      </w:r>
      <w:r>
        <w:rPr>
          <w:b w:val="0"/>
        </w:rPr>
        <w:t xml:space="preserve"> im Moment vor allem?“</w:t>
      </w:r>
    </w:p>
    <w:p>
      <w:pPr>
        <w:spacing w:after="60"/>
        <w:ind w:left="340" w:hanging="340"/>
      </w:pPr>
      <w:r>
        <w:rPr>
          <w:b w:val="0"/>
        </w:rPr>
        <w:t>☐</w:t>
        <w:tab/>
        <w:t>3. „Was hat sich in den letzten Monaten verändert?“ (den Anlass aus dem Briefing nennen)</w:t>
      </w:r>
    </w:p>
    <w:p>
      <w:pPr>
        <w:spacing w:after="60"/>
        <w:ind w:left="340" w:hanging="340"/>
      </w:pPr>
      <w:r>
        <w:rPr>
          <w:b w:val="0"/>
        </w:rPr>
        <w:t>☐</w:t>
        <w:tab/>
        <w:t>4. „Welche Rolle spielt das Thema für Sie in Ihrer Funktion?“</w:t>
      </w:r>
    </w:p>
    <w:p>
      <w:pPr>
        <w:pStyle w:val="Heading2"/>
      </w:pPr>
      <w:r>
        <w:rPr>
          <w:b w:val="0"/>
        </w:rPr>
        <w:t>Problem</w:t>
      </w:r>
    </w:p>
    <w:p>
      <w:pPr>
        <w:spacing w:after="60"/>
        <w:ind w:left="340" w:hanging="340"/>
      </w:pPr>
      <w:r>
        <w:rPr>
          <w:b w:val="0"/>
        </w:rPr>
        <w:t>☐</w:t>
        <w:tab/>
        <w:t>5. „Wo hakt es dabei am meisten?“</w:t>
      </w:r>
    </w:p>
    <w:p>
      <w:pPr>
        <w:spacing w:after="60"/>
        <w:ind w:left="340" w:hanging="340"/>
      </w:pPr>
      <w:r>
        <w:rPr>
          <w:b w:val="0"/>
        </w:rPr>
        <w:t>☐</w:t>
        <w:tab/>
        <w:t>6. „Was haben Sie bisher dagegen versucht, und was ist daraus geworden?“</w:t>
      </w:r>
    </w:p>
    <w:p>
      <w:pPr>
        <w:spacing w:after="60"/>
        <w:ind w:left="340" w:hanging="340"/>
      </w:pPr>
      <w:r>
        <w:rPr>
          <w:b w:val="0"/>
        </w:rPr>
        <w:t>☐</w:t>
        <w:tab/>
        <w:t>7. „Wie viel Zeit kostet Sie das in einer normalen Woche?“</w:t>
      </w:r>
    </w:p>
    <w:p>
      <w:pPr>
        <w:spacing w:after="60"/>
        <w:ind w:left="340" w:hanging="340"/>
      </w:pPr>
      <w:r>
        <w:rPr>
          <w:b w:val="0"/>
        </w:rPr>
        <w:t>☐</w:t>
        <w:tab/>
        <w:t>8. „Woran liegt es, dass das bis heute nicht gelöst ist?“</w:t>
      </w:r>
    </w:p>
    <w:p>
      <w:pPr>
        <w:pStyle w:val="Heading2"/>
      </w:pPr>
      <w:r>
        <w:rPr>
          <w:b w:val="0"/>
        </w:rPr>
        <w:t>Auswirkung</w:t>
      </w:r>
    </w:p>
    <w:p>
      <w:pPr>
        <w:spacing w:after="60"/>
        <w:ind w:left="340" w:hanging="340"/>
      </w:pPr>
      <w:r>
        <w:rPr>
          <w:b w:val="0"/>
        </w:rPr>
        <w:t>☐</w:t>
        <w:tab/>
        <w:t xml:space="preserve">9. „Was bedeutet das für </w:t>
      </w:r>
      <w:r>
        <w:rPr>
          <w:b w:val="0"/>
          <w:highlight w:val="yellow"/>
        </w:rPr>
        <w:t>[die Auftragslage]</w:t>
      </w:r>
      <w:r>
        <w:rPr>
          <w:b w:val="0"/>
        </w:rPr>
        <w:t xml:space="preserve"> in den nächsten zwölf Monaten?“</w:t>
      </w:r>
    </w:p>
    <w:p>
      <w:pPr>
        <w:spacing w:after="60"/>
        <w:ind w:left="340" w:hanging="340"/>
      </w:pPr>
      <w:r>
        <w:rPr>
          <w:b w:val="0"/>
        </w:rPr>
        <w:t>☐</w:t>
        <w:tab/>
        <w:t>10. „Wen im Unternehmen betrifft das außer Ihnen?“</w:t>
      </w:r>
    </w:p>
    <w:p>
      <w:pPr>
        <w:spacing w:after="60"/>
        <w:ind w:left="340" w:hanging="340"/>
      </w:pPr>
      <w:r>
        <w:rPr>
          <w:b w:val="0"/>
        </w:rPr>
        <w:t>☐</w:t>
        <w:tab/>
        <w:t>11. „Was passiert, wenn alles so bleibt, wie es ist?“</w:t>
      </w:r>
    </w:p>
    <w:p>
      <w:pPr>
        <w:pStyle w:val="Heading2"/>
      </w:pPr>
      <w:r>
        <w:rPr>
          <w:b w:val="0"/>
        </w:rPr>
        <w:t>Zielbild und Nutzen</w:t>
      </w:r>
    </w:p>
    <w:p>
      <w:pPr>
        <w:spacing w:after="60"/>
        <w:ind w:left="340" w:hanging="340"/>
      </w:pPr>
      <w:r>
        <w:rPr>
          <w:b w:val="0"/>
        </w:rPr>
        <w:t>☐</w:t>
        <w:tab/>
        <w:t>12. „Woran würden Sie in sechs Monaten merken, dass es gelöst ist?“</w:t>
      </w:r>
    </w:p>
    <w:p>
      <w:pPr>
        <w:spacing w:after="60"/>
        <w:ind w:left="340" w:hanging="340"/>
      </w:pPr>
      <w:r>
        <w:rPr>
          <w:b w:val="0"/>
        </w:rPr>
        <w:t>☐</w:t>
        <w:tab/>
        <w:t>13. „Was wäre Ihnen eine Lösung wert, verglichen mit dem, was das Problem heute kostet?“</w:t>
      </w:r>
    </w:p>
    <w:p>
      <w:pPr>
        <w:pStyle w:val="Heading2"/>
      </w:pPr>
      <w:r>
        <w:rPr>
          <w:b w:val="0"/>
        </w:rPr>
        <w:t>Entscheidung</w:t>
      </w:r>
    </w:p>
    <w:p>
      <w:pPr>
        <w:spacing w:after="60"/>
        <w:ind w:left="340" w:hanging="340"/>
      </w:pPr>
      <w:r>
        <w:rPr>
          <w:b w:val="0"/>
        </w:rPr>
        <w:t>☐</w:t>
        <w:tab/>
        <w:t>14. „Wer entscheidet bei Ihnen über so etwas mit, und wie läuft so eine Entscheidung ab?“</w:t>
      </w:r>
    </w:p>
    <w:p>
      <w:pPr>
        <w:spacing w:after="60"/>
        <w:ind w:left="340" w:hanging="340"/>
      </w:pPr>
      <w:r>
        <w:rPr>
          <w:b w:val="0"/>
        </w:rPr>
        <w:t>☐</w:t>
        <w:tab/>
        <w:t>15. „Was müsste passieren, damit Sie das Thema noch in diesem Jahr angehen?“</w:t>
      </w:r>
    </w:p>
    <w:p>
      <w:r>
        <w:rPr>
          <w:b w:val="0"/>
        </w:rPr>
        <w:t>Drei Regeln für alle Fragen: Eine Frage, dann Pause; die Stille füllt der Kunde, nicht du. Keine Suggestivfragen, in denen die Antwort schon steckt. Und nachfragen statt weiterspringen: „Was meinen Sie mit zäh?“ bringt mehr als die nächste Frage von der Liste.</w:t>
      </w:r>
    </w:p>
    <w:p>
      <w:pPr>
        <w:pStyle w:val="Heading1"/>
      </w:pPr>
      <w:r>
        <w:rPr>
          <w:b w:val="0"/>
        </w:rPr>
        <w:t>4. Qualifizieren ohne zu verhören</w:t>
      </w:r>
    </w:p>
    <w:p>
      <w:r>
        <w:rPr>
          <w:b w:val="0"/>
        </w:rPr>
        <w:t>Qualifizieren heißt prüfen, ob sich der nächste Schritt für beide Seiten lohnt. Die klassischen Kriterien Budget, Entscheidungsbefugnis, Bedarf und Zeitrahmen (BANT) sind sinnvoll; das Problem ist die Form. Wer die vier Kriterien nacheinander abfragt, führt ein Verhör. Käufer wollen im ersten Gespräch laut einer HubSpot-Befragung vor allem über Preis und Funktionsweise sprechen, während Verkäufer lieber qualifizieren (Umfrage 2016, Stand der Seite Oktober 2025). Der Ausweg: Die Qualifizierung steckt in der Bedarfsanalyse. Frage 14 klärt die Entscheidungsbefugnis, Frage 15 den Zeitrahmen, Frage 13 den Budgetrahmen, die Fragen 5 bis 11 den Bedarf.</w:t>
      </w:r>
    </w:p>
    <w:p>
      <w:r>
        <w:rPr>
          <w:b w:val="0"/>
        </w:rPr>
        <w:t>Qualifiziert ist ein Erstgespräch, wenn vier Dinge stimmen. Diese Zählweise ist strenger als „Lead“ und darum brauchbar, auch für dein eigenes Team:</w:t>
      </w:r>
    </w:p>
    <w:p>
      <w:pPr>
        <w:spacing w:after="60"/>
        <w:ind w:left="340" w:hanging="340"/>
      </w:pPr>
      <w:r>
        <w:rPr>
          <w:b w:val="0"/>
        </w:rPr>
        <w:t>☐</w:t>
        <w:tab/>
      </w:r>
      <w:r>
        <w:rPr>
          <w:b/>
        </w:rPr>
        <w:t>Richtige Rolle.</w:t>
      </w:r>
      <w:r>
        <w:rPr>
          <w:b w:val="0"/>
        </w:rPr>
        <w:t xml:space="preserve"> Ein Entscheider oder Budgetverantwortlicher sitzt am Tisch, nicht eine Assistenz, ein Praktikant oder jemand, der „erst mal zuhört“.</w:t>
      </w:r>
    </w:p>
    <w:p>
      <w:pPr>
        <w:spacing w:after="60"/>
        <w:ind w:left="340" w:hanging="340"/>
      </w:pPr>
      <w:r>
        <w:rPr>
          <w:b w:val="0"/>
        </w:rPr>
        <w:t>☐</w:t>
        <w:tab/>
      </w:r>
      <w:r>
        <w:rPr>
          <w:b/>
        </w:rPr>
        <w:t>Passendes Unternehmen.</w:t>
      </w:r>
      <w:r>
        <w:rPr>
          <w:b w:val="0"/>
        </w:rPr>
        <w:t xml:space="preserve"> Branche, Größe und Auftragswert entsprechen deinem Zielkundenprofil.</w:t>
      </w:r>
    </w:p>
    <w:p>
      <w:pPr>
        <w:spacing w:after="60"/>
        <w:ind w:left="340" w:hanging="340"/>
      </w:pPr>
      <w:r>
        <w:rPr>
          <w:b w:val="0"/>
        </w:rPr>
        <w:t>☐</w:t>
        <w:tab/>
      </w:r>
      <w:r>
        <w:rPr>
          <w:b/>
        </w:rPr>
        <w:t>Konkreter Anlass.</w:t>
      </w:r>
      <w:r>
        <w:rPr>
          <w:b w:val="0"/>
        </w:rPr>
        <w:t xml:space="preserve"> Es gibt ein erkanntes Problem, das im Gespräch bestätigt wurde.</w:t>
      </w:r>
    </w:p>
    <w:p>
      <w:pPr>
        <w:spacing w:after="60"/>
        <w:ind w:left="340" w:hanging="340"/>
      </w:pPr>
      <w:r>
        <w:rPr>
          <w:b w:val="0"/>
        </w:rPr>
        <w:t>☐</w:t>
        <w:tab/>
      </w:r>
      <w:r>
        <w:rPr>
          <w:b/>
        </w:rPr>
        <w:t>Termin wahrgenommen.</w:t>
      </w:r>
      <w:r>
        <w:rPr>
          <w:b w:val="0"/>
        </w:rPr>
        <w:t xml:space="preserve"> Das Gespräch hat stattgefunden. Wer nicht erscheint, zählt nicht.</w:t>
      </w:r>
    </w:p>
    <w:p>
      <w:r>
        <w:rPr>
          <w:b w:val="0"/>
        </w:rPr>
        <w:t>Wird nach dem Preis gefragt, nenne einen Rahmen oder ein Beispiel, etwa den Preis für einen vergleichbaren Umfang, und erkläre, wovon der genaue Preis abhängt. Ausweichen wirkt wie Verstecken und verschiebt die Frage nur in den zweiten Termin.</w:t>
      </w:r>
    </w:p>
    <w:p>
      <w:pPr>
        <w:pStyle w:val="Heading1"/>
      </w:pPr>
      <w:r>
        <w:rPr>
          <w:b w:val="0"/>
        </w:rPr>
        <w:t>5. Sechs Einwände mit Antwortweg</w:t>
      </w:r>
    </w:p>
    <w:p>
      <w:r>
        <w:rPr>
          <w:b w:val="0"/>
        </w:rPr>
        <w:t>Einwandbehandlung heißt im Erstgespräch nicht, einen Einwand zu widerlegen, sondern herauszufinden, was dem Entscheider fehlt: ein Anlass, eine Zahl, Vertrauen oder der richtige Zeitpunkt. Der Weg dahin hat vier Schritte, bewusst einfach, damit er unter Druck funktioniert:</w:t>
      </w:r>
    </w:p>
    <w:p>
      <w:pPr>
        <w:ind w:left="340" w:hanging="340"/>
      </w:pPr>
      <w:r>
        <w:rPr>
          <w:b w:val="0"/>
        </w:rPr>
        <w:t>1.</w:t>
        <w:tab/>
      </w:r>
      <w:r>
        <w:rPr>
          <w:b/>
        </w:rPr>
        <w:t>Zuhören.</w:t>
      </w:r>
      <w:r>
        <w:rPr>
          <w:b w:val="0"/>
        </w:rPr>
        <w:t xml:space="preserve"> Den Satz ausreden lassen, kurze Pause, den Einwand in eigenen Worten wiederholen („Sie haben also schon jemanden für die Terminierung“).</w:t>
      </w:r>
    </w:p>
    <w:p>
      <w:pPr>
        <w:ind w:left="340" w:hanging="340"/>
      </w:pPr>
      <w:r>
        <w:rPr>
          <w:b w:val="0"/>
        </w:rPr>
        <w:t>2.</w:t>
        <w:tab/>
      </w:r>
      <w:r>
        <w:rPr>
          <w:b/>
        </w:rPr>
        <w:t>Einordnen.</w:t>
      </w:r>
      <w:r>
        <w:rPr>
          <w:b w:val="0"/>
        </w:rPr>
        <w:t xml:space="preserve"> Einwand oder Vorwand? Einwände nennen Umstände, Vorwände bleiben allgemein, und auf eine Rückfrage folgt beim Vorwand der nächste Vorwand. Was fehlt dem Entscheider: ein Anlass, eine Zahl, Vertrauen, ein Zeitpunkt?</w:t>
      </w:r>
    </w:p>
    <w:p>
      <w:pPr>
        <w:ind w:left="340" w:hanging="340"/>
      </w:pPr>
      <w:r>
        <w:rPr>
          <w:b w:val="0"/>
        </w:rPr>
        <w:t>3.</w:t>
        <w:tab/>
      </w:r>
      <w:r>
        <w:rPr>
          <w:b/>
        </w:rPr>
        <w:t>Frage.</w:t>
      </w:r>
      <w:r>
        <w:rPr>
          <w:b w:val="0"/>
        </w:rPr>
        <w:t xml:space="preserve"> Genau eine offene Frage, die das Fehlende sichtbar macht. Keine Suggestivfrage, keine zwei Fragen hintereinander.</w:t>
      </w:r>
    </w:p>
    <w:p>
      <w:pPr>
        <w:ind w:left="340" w:hanging="340"/>
      </w:pPr>
      <w:r>
        <w:rPr>
          <w:b w:val="0"/>
        </w:rPr>
        <w:t>4.</w:t>
        <w:tab/>
      </w:r>
      <w:r>
        <w:rPr>
          <w:b/>
        </w:rPr>
        <w:t>Angebot.</w:t>
      </w:r>
      <w:r>
        <w:rPr>
          <w:b w:val="0"/>
        </w:rPr>
        <w:t xml:space="preserve"> Ein kleiner nächster Schritt ohne Risiko: zehn Minuten am Dienstag, eine Seite mit Ablauf und Preis, ein Termin mit Datum. War die Antwort ein klares Nein, ist das Angebot ein sauberes Ende.</w:t>
      </w:r>
    </w:p>
    <w:tbl>
      <w:tblPr>
        <w:tblStyle w:val="TableGrid"/>
        <w:tblW w:type="auto" w:w="0"/>
        <w:tblLook w:firstColumn="1" w:firstRow="1" w:lastColumn="0" w:lastRow="0" w:noHBand="0" w:noVBand="1" w:val="04A0"/>
      </w:tblPr>
      <w:tblGrid>
        <w:gridCol w:w="2436"/>
        <w:gridCol w:w="2436"/>
        <w:gridCol w:w="2436"/>
        <w:gridCol w:w="2436"/>
      </w:tblGrid>
      <w:tr>
        <w:tc>
          <w:tcPr>
            <w:tcW w:type="dxa" w:w="2436"/>
          </w:tcPr>
          <w:p>
            <w:pPr>
              <w:shd w:val="clear" w:color="auto" w:fill="E6E9FB"/>
            </w:pPr>
            <w:r>
              <w:rPr>
                <w:b/>
                <w:sz w:val="19"/>
              </w:rPr>
              <w:t>Einwand</w:t>
            </w:r>
          </w:p>
        </w:tc>
        <w:tc>
          <w:tcPr>
            <w:tcW w:type="dxa" w:w="2436"/>
          </w:tcPr>
          <w:p>
            <w:pPr>
              <w:shd w:val="clear" w:color="auto" w:fill="E6E9FB"/>
            </w:pPr>
            <w:r>
              <w:rPr>
                <w:b/>
                <w:sz w:val="19"/>
              </w:rPr>
              <w:t>Was dahinter steckt</w:t>
            </w:r>
          </w:p>
        </w:tc>
        <w:tc>
          <w:tcPr>
            <w:tcW w:type="dxa" w:w="2436"/>
          </w:tcPr>
          <w:p>
            <w:pPr>
              <w:shd w:val="clear" w:color="auto" w:fill="E6E9FB"/>
            </w:pPr>
            <w:r>
              <w:rPr>
                <w:b/>
                <w:sz w:val="19"/>
              </w:rPr>
              <w:t>Antwortweg</w:t>
            </w:r>
          </w:p>
        </w:tc>
        <w:tc>
          <w:tcPr>
            <w:tcW w:type="dxa" w:w="2436"/>
          </w:tcPr>
          <w:p>
            <w:pPr>
              <w:shd w:val="clear" w:color="auto" w:fill="E6E9FB"/>
            </w:pPr>
            <w:r>
              <w:rPr>
                <w:b/>
                <w:sz w:val="19"/>
              </w:rPr>
              <w:t>Beispielsatz (typisches Szenario)</w:t>
            </w:r>
          </w:p>
        </w:tc>
      </w:tr>
      <w:tr>
        <w:tc>
          <w:tcPr>
            <w:tcW w:type="dxa" w:w="2436"/>
          </w:tcPr>
          <w:p>
            <w:r>
              <w:rPr>
                <w:b w:val="0"/>
                <w:sz w:val="19"/>
              </w:rPr>
              <w:t>„Ich habe keine Zeit.“</w:t>
            </w:r>
          </w:p>
        </w:tc>
        <w:tc>
          <w:tcPr>
            <w:tcW w:type="dxa" w:w="2436"/>
          </w:tcPr>
          <w:p>
            <w:r>
              <w:rPr>
                <w:b w:val="0"/>
                <w:sz w:val="19"/>
              </w:rPr>
              <w:t>Kein Grund, jetzt zuzuhören; der Kontakt kam ohne erkennbaren Anlass.</w:t>
            </w:r>
          </w:p>
        </w:tc>
        <w:tc>
          <w:tcPr>
            <w:tcW w:type="dxa" w:w="2436"/>
          </w:tcPr>
          <w:p>
            <w:r>
              <w:rPr>
                <w:b w:val="0"/>
                <w:sz w:val="19"/>
              </w:rPr>
              <w:t>Anlass in einem Satz, dann eine feste Alternative mit Tag und Uhrzeit statt „Wann passt es Ihnen?“.</w:t>
            </w:r>
          </w:p>
        </w:tc>
        <w:tc>
          <w:tcPr>
            <w:tcW w:type="dxa" w:w="2436"/>
          </w:tcPr>
          <w:p>
            <w:r>
              <w:rPr>
                <w:b w:val="0"/>
                <w:sz w:val="19"/>
              </w:rPr>
              <w:t xml:space="preserve">„Verstanden, dann halte ich mich kurz. Ich melde mich, weil Sie gerade </w:t>
            </w:r>
            <w:r>
              <w:rPr>
                <w:b w:val="0"/>
                <w:sz w:val="19"/>
                <w:highlight w:val="yellow"/>
              </w:rPr>
              <w:t>[Anlass]</w:t>
            </w:r>
            <w:r>
              <w:rPr>
                <w:b w:val="0"/>
                <w:sz w:val="19"/>
              </w:rPr>
              <w:t>. Dazu habe ich eine Frage, die 30 Sekunden dauert. Passt das jetzt, oder soll ich Donnerstag um 9 Uhr noch einmal anrufen?“</w:t>
            </w:r>
          </w:p>
        </w:tc>
      </w:tr>
      <w:tr>
        <w:tc>
          <w:tcPr>
            <w:tcW w:type="dxa" w:w="2436"/>
          </w:tcPr>
          <w:p>
            <w:r>
              <w:rPr>
                <w:b w:val="0"/>
                <w:sz w:val="19"/>
              </w:rPr>
              <w:t>„Kein Interesse.“</w:t>
            </w:r>
          </w:p>
        </w:tc>
        <w:tc>
          <w:tcPr>
            <w:tcW w:type="dxa" w:w="2436"/>
          </w:tcPr>
          <w:p>
            <w:r>
              <w:rPr>
                <w:b w:val="0"/>
                <w:sz w:val="19"/>
              </w:rPr>
              <w:t>Kein Bezug zum eigenen Geschäft erkennbar, oft ein Reflex gegen Verkäufer; meist heißt es „kein Anlass“.</w:t>
            </w:r>
          </w:p>
        </w:tc>
        <w:tc>
          <w:tcPr>
            <w:tcW w:type="dxa" w:w="2436"/>
          </w:tcPr>
          <w:p>
            <w:r>
              <w:rPr>
                <w:b w:val="0"/>
                <w:sz w:val="19"/>
              </w:rPr>
              <w:t>Nein annehmen, eine einzige Frage nach dem Grund; bei klarem Nein bedanken, von der Liste nehmen, Sperrliste.</w:t>
            </w:r>
          </w:p>
        </w:tc>
        <w:tc>
          <w:tcPr>
            <w:tcW w:type="dxa" w:w="2436"/>
          </w:tcPr>
          <w:p>
            <w:r>
              <w:rPr>
                <w:b w:val="0"/>
                <w:sz w:val="19"/>
              </w:rPr>
              <w:t xml:space="preserve">„In Ordnung, ich will Sie zu nichts überreden. Eine Frage, damit ich Sie nicht noch einmal mit dem Falschen anspreche: Steht </w:t>
            </w:r>
            <w:r>
              <w:rPr>
                <w:b w:val="0"/>
                <w:sz w:val="19"/>
                <w:highlight w:val="yellow"/>
              </w:rPr>
              <w:t>[Thema]</w:t>
            </w:r>
            <w:r>
              <w:rPr>
                <w:b w:val="0"/>
                <w:sz w:val="19"/>
              </w:rPr>
              <w:t xml:space="preserve"> bei Ihnen gerade nicht an, oder haben Sie das intern gelöst?“</w:t>
            </w:r>
          </w:p>
        </w:tc>
      </w:tr>
      <w:tr>
        <w:tc>
          <w:tcPr>
            <w:tcW w:type="dxa" w:w="2436"/>
          </w:tcPr>
          <w:p>
            <w:r>
              <w:rPr>
                <w:b w:val="0"/>
                <w:sz w:val="19"/>
              </w:rPr>
              <w:t>„Dafür haben wir kein Budget.“</w:t>
            </w:r>
          </w:p>
        </w:tc>
        <w:tc>
          <w:tcPr>
            <w:tcW w:type="dxa" w:w="2436"/>
          </w:tcPr>
          <w:p>
            <w:r>
              <w:rPr>
                <w:b w:val="0"/>
                <w:sz w:val="19"/>
              </w:rPr>
              <w:t>Keine Priorität oder kein Haushaltsposten, selten wirklich kein Geld.</w:t>
            </w:r>
          </w:p>
        </w:tc>
        <w:tc>
          <w:tcPr>
            <w:tcW w:type="dxa" w:w="2436"/>
          </w:tcPr>
          <w:p>
            <w:r>
              <w:rPr>
                <w:b w:val="0"/>
                <w:sz w:val="19"/>
              </w:rPr>
              <w:t>Rechnen statt rabattieren: Auftragswert, nötige Gespräche, kleiner Pilot; die Rechnung mit den Zahlen des Entscheiders aufmachen.</w:t>
            </w:r>
          </w:p>
        </w:tc>
        <w:tc>
          <w:tcPr>
            <w:tcW w:type="dxa" w:w="2436"/>
          </w:tcPr>
          <w:p>
            <w:r>
              <w:rPr>
                <w:b w:val="0"/>
                <w:sz w:val="19"/>
              </w:rPr>
              <w:t xml:space="preserve">„Gibt es kein Budget für das Thema, oder gibt es keinen Posten, unter dem es laufen könnte? Angenommen, ein Auftrag bringt Ihnen </w:t>
            </w:r>
            <w:r>
              <w:rPr>
                <w:b w:val="0"/>
                <w:sz w:val="19"/>
                <w:highlight w:val="yellow"/>
              </w:rPr>
              <w:t>[Betrag]</w:t>
            </w:r>
            <w:r>
              <w:rPr>
                <w:b w:val="0"/>
                <w:sz w:val="19"/>
              </w:rPr>
              <w:t>: Das rechnen wir in zehn Minuten durch, und danach wissen Sie, ob Budget überhaupt die Frage ist.“</w:t>
            </w:r>
          </w:p>
        </w:tc>
      </w:tr>
      <w:tr>
        <w:tc>
          <w:tcPr>
            <w:tcW w:type="dxa" w:w="2436"/>
          </w:tcPr>
          <w:p>
            <w:r>
              <w:rPr>
                <w:b w:val="0"/>
                <w:sz w:val="19"/>
              </w:rPr>
              <w:t>„Wir haben schon einen Anbieter.“</w:t>
            </w:r>
          </w:p>
        </w:tc>
        <w:tc>
          <w:tcPr>
            <w:tcW w:type="dxa" w:w="2436"/>
          </w:tcPr>
          <w:p>
            <w:r>
              <w:rPr>
                <w:b w:val="0"/>
                <w:sz w:val="19"/>
              </w:rPr>
              <w:t>Der bestehende Zustand ist bequem, ein Wechsel kostet Aufwand und Risiko.</w:t>
            </w:r>
          </w:p>
        </w:tc>
        <w:tc>
          <w:tcPr>
            <w:tcW w:type="dxa" w:w="2436"/>
          </w:tcPr>
          <w:p>
            <w:r>
              <w:rPr>
                <w:b w:val="0"/>
                <w:sz w:val="19"/>
              </w:rPr>
              <w:t>Fragen, was gut läuft und was fehlt; nur über die Lücke sprechen, den Anbieter nie schlechtmachen.</w:t>
            </w:r>
          </w:p>
        </w:tc>
        <w:tc>
          <w:tcPr>
            <w:tcW w:type="dxa" w:w="2436"/>
          </w:tcPr>
          <w:p>
            <w:r>
              <w:rPr>
                <w:b w:val="0"/>
                <w:sz w:val="19"/>
              </w:rPr>
              <w:t>„Gut, dann ist das Thema bei Ihnen ja nicht neu. Was läuft mit dem aktuellen Partner gut, und was würden Sie sich anders wünschen?“</w:t>
            </w:r>
          </w:p>
        </w:tc>
      </w:tr>
      <w:tr>
        <w:tc>
          <w:tcPr>
            <w:tcW w:type="dxa" w:w="2436"/>
          </w:tcPr>
          <w:p>
            <w:r>
              <w:rPr>
                <w:b w:val="0"/>
                <w:sz w:val="19"/>
              </w:rPr>
              <w:t>„Schicken Sie mir Unterlagen.“</w:t>
            </w:r>
          </w:p>
        </w:tc>
        <w:tc>
          <w:tcPr>
            <w:tcW w:type="dxa" w:w="2436"/>
          </w:tcPr>
          <w:p>
            <w:r>
              <w:rPr>
                <w:b w:val="0"/>
                <w:sz w:val="19"/>
              </w:rPr>
              <w:t>Höflicher Ausstieg oder echtes Informationsbedürfnis, beides kommt vor.</w:t>
            </w:r>
          </w:p>
        </w:tc>
        <w:tc>
          <w:tcPr>
            <w:tcW w:type="dxa" w:w="2436"/>
          </w:tcPr>
          <w:p>
            <w:r>
              <w:rPr>
                <w:b w:val="0"/>
                <w:sz w:val="19"/>
              </w:rPr>
              <w:t>Fragen, was drinstehen muss; Versand an einen festen Folgetermin koppeln.</w:t>
            </w:r>
          </w:p>
        </w:tc>
        <w:tc>
          <w:tcPr>
            <w:tcW w:type="dxa" w:w="2436"/>
          </w:tcPr>
          <w:p>
            <w:r>
              <w:rPr>
                <w:b w:val="0"/>
                <w:sz w:val="19"/>
              </w:rPr>
              <w:t xml:space="preserve">„Mache ich gern. Damit ich Ihnen nicht 30 Seiten schicke, die am Thema vorbeigehen: Was müsste drinstehen, damit es sich für Sie lohnt, sie zu lesen? Die eine Seite schicke ich heute, und am </w:t>
            </w:r>
            <w:r>
              <w:rPr>
                <w:b w:val="0"/>
                <w:sz w:val="19"/>
                <w:highlight w:val="yellow"/>
              </w:rPr>
              <w:t>[Wochentag]</w:t>
            </w:r>
            <w:r>
              <w:rPr>
                <w:b w:val="0"/>
                <w:sz w:val="19"/>
              </w:rPr>
              <w:t xml:space="preserve"> sprechen wir zehn Minuten darüber.“</w:t>
            </w:r>
          </w:p>
        </w:tc>
      </w:tr>
      <w:tr>
        <w:tc>
          <w:tcPr>
            <w:tcW w:type="dxa" w:w="2436"/>
          </w:tcPr>
          <w:p>
            <w:r>
              <w:rPr>
                <w:b w:val="0"/>
                <w:sz w:val="19"/>
              </w:rPr>
              <w:t>„Melden Sie sich in sechs Monaten.“</w:t>
            </w:r>
          </w:p>
        </w:tc>
        <w:tc>
          <w:tcPr>
            <w:tcW w:type="dxa" w:w="2436"/>
          </w:tcPr>
          <w:p>
            <w:r>
              <w:rPr>
                <w:b w:val="0"/>
                <w:sz w:val="19"/>
              </w:rPr>
              <w:t>Entscheidung vertagt, oft ohne konkreten Grund; manchmal ein echter Zeitplan.</w:t>
            </w:r>
          </w:p>
        </w:tc>
        <w:tc>
          <w:tcPr>
            <w:tcW w:type="dxa" w:w="2436"/>
          </w:tcPr>
          <w:p>
            <w:r>
              <w:rPr>
                <w:b w:val="0"/>
                <w:sz w:val="19"/>
              </w:rPr>
              <w:t>Fragen, was dann anders ist; aus „irgendwann“ ein Datum und eine Vorbereitung machen.</w:t>
            </w:r>
          </w:p>
        </w:tc>
        <w:tc>
          <w:tcPr>
            <w:tcW w:type="dxa" w:w="2436"/>
          </w:tcPr>
          <w:p>
            <w:r>
              <w:rPr>
                <w:b w:val="0"/>
                <w:sz w:val="19"/>
              </w:rPr>
              <w:t xml:space="preserve">„Gern. Damit ich dann nicht wieder bei null anfange: Was ist in sechs Monaten anders als heute? Wenn </w:t>
            </w:r>
            <w:r>
              <w:rPr>
                <w:b w:val="0"/>
                <w:sz w:val="19"/>
                <w:highlight w:val="yellow"/>
              </w:rPr>
              <w:t>[Ereignis]</w:t>
            </w:r>
            <w:r>
              <w:rPr>
                <w:b w:val="0"/>
                <w:sz w:val="19"/>
              </w:rPr>
              <w:t xml:space="preserve"> im </w:t>
            </w:r>
            <w:r>
              <w:rPr>
                <w:b w:val="0"/>
                <w:sz w:val="19"/>
                <w:highlight w:val="yellow"/>
              </w:rPr>
              <w:t>[Monat]</w:t>
            </w:r>
            <w:r>
              <w:rPr>
                <w:b w:val="0"/>
                <w:sz w:val="19"/>
              </w:rPr>
              <w:t xml:space="preserve"> ansteht, sollten die ersten Gespräche davor stehen. Sollen wir im </w:t>
            </w:r>
            <w:r>
              <w:rPr>
                <w:b w:val="0"/>
                <w:sz w:val="19"/>
                <w:highlight w:val="yellow"/>
              </w:rPr>
              <w:t>[Monat]</w:t>
            </w:r>
            <w:r>
              <w:rPr>
                <w:b w:val="0"/>
                <w:sz w:val="19"/>
              </w:rPr>
              <w:t xml:space="preserve"> 20 Minuten planen, was bis dahin vorbereitet sein muss?“</w:t>
            </w:r>
          </w:p>
        </w:tc>
      </w:tr>
    </w:tbl>
    <w:p/>
    <w:p>
      <w:r>
        <w:rPr>
          <w:b w:val="0"/>
        </w:rPr>
        <w:t>Keiner der sechs Einwände sagt etwas über dein Angebot, und jeder lässt sich mit einer einzigen Frage klären, bevor du irgendetwas argumentierst. Was du nie tun solltest: den Einwand wegreden („Das sehen Sie falsch“, „Ja, aber“), Zwang in der Sprache („Sie müssen“, „Sie sollten“), künstlichen Zeitdruck, den bestehenden Anbieter schlechtmachen, verhören mit zwei Fragen hintereinander, nach einem klaren Nein weitermachen.</w:t>
      </w:r>
    </w:p>
    <w:p>
      <w:pPr>
        <w:pStyle w:val="Heading1"/>
      </w:pPr>
      <w:r>
        <w:rPr>
          <w:b w:val="0"/>
        </w:rPr>
        <w:t>6. Der nächste Schritt am Ende des Gesprächs</w:t>
      </w:r>
    </w:p>
    <w:p>
      <w:r>
        <w:rPr>
          <w:b w:val="0"/>
        </w:rPr>
        <w:t>Das Ende entscheidet, ob aus dem Gespräch etwas wird. Laut Forrester geraten 86 Prozent der B2B-Käufe während des Kaufprozesses ins Stocken (Stand Dezember 2024); eine Ursache ist banal: Nach dem Gespräch weiß niemand, was als Nächstes passiert. „Ich schicke Ihnen Unterlagen“ ist kein nächster Schritt. Ein nächster Schritt hat ein Datum, Teilnehmer und ein Ergebnis.</w:t>
      </w:r>
    </w:p>
    <w:p>
      <w:r>
        <w:rPr>
          <w:b w:val="0"/>
        </w:rPr>
        <w:t>Schlag den Schritt selbst vor, als Vorschlag, nicht als Bedingung, und mach ihn klein: Eine Stunde mit dem Buying Center ist leichter zuzusagen als ein Angebot. Lege den Termin im Gespräch fest, nicht per E-Mail danach.</w:t>
      </w:r>
    </w:p>
    <w:p>
      <w:pPr>
        <w:shd w:val="clear" w:color="auto" w:fill="FFF3D6"/>
      </w:pPr>
      <w:r>
        <w:rPr>
          <w:b w:val="0"/>
        </w:rPr>
        <w:t xml:space="preserve">„Aus meiner Sicht wäre der nächste Schritt ein Termin mit Ihnen und </w:t>
      </w:r>
      <w:r>
        <w:rPr>
          <w:b w:val="0"/>
          <w:highlight w:val="yellow"/>
        </w:rPr>
        <w:t>[weitere Rolle]</w:t>
      </w:r>
      <w:r>
        <w:rPr>
          <w:b w:val="0"/>
        </w:rPr>
        <w:t xml:space="preserve">, in dem wir die drei Punkte von heute an Ihren Zahlen durchrechnen. Was halten Sie davon? Passt </w:t>
      </w:r>
      <w:r>
        <w:rPr>
          <w:b w:val="0"/>
          <w:highlight w:val="yellow"/>
        </w:rPr>
        <w:t>[Datum und Uhrzeit]</w:t>
      </w:r>
      <w:r>
        <w:rPr>
          <w:b w:val="0"/>
        </w:rPr>
        <w:t>?“</w:t>
      </w:r>
    </w:p>
    <w:p>
      <w:r>
        <w:rPr>
          <w:b w:val="0"/>
        </w:rPr>
        <w:t>Ein typisches Beispiel, keine Kundenstory: Ein Industrie-Dienstleister mit 80 Mitarbeitern spricht mit dem Geschäftsführer eines Maschinenbauers, der gerade einen zweiten Standort eröffnet. Im Gespräch zeigt sich, dass der Leiter der Instandhaltung mitentscheidet und von dem Termin nichts weiß. Der nächste Schritt ist dann kein Angebot, sondern ein Termin zu dritt vor Ort, mit Datum. Bis dahin liefert der Anbieter eine Grobkalkulation für den neuen Standort.</w:t>
      </w:r>
    </w:p>
    <w:p>
      <w:pPr>
        <w:spacing w:after="60"/>
        <w:ind w:left="340" w:hanging="340"/>
      </w:pPr>
      <w:r>
        <w:rPr>
          <w:b w:val="0"/>
        </w:rPr>
        <w:t>☐</w:t>
        <w:tab/>
        <w:t xml:space="preserve">Nächster Schritt vereinbart: </w:t>
      </w:r>
      <w:r>
        <w:rPr>
          <w:b w:val="0"/>
          <w:highlight w:val="yellow"/>
        </w:rPr>
        <w:t>[was]</w:t>
      </w:r>
    </w:p>
    <w:p>
      <w:pPr>
        <w:spacing w:after="60"/>
        <w:ind w:left="340" w:hanging="340"/>
      </w:pPr>
      <w:r>
        <w:rPr>
          <w:b w:val="0"/>
        </w:rPr>
        <w:t>☐</w:t>
        <w:tab/>
        <w:t xml:space="preserve">Datum und Uhrzeit: </w:t>
      </w:r>
      <w:r>
        <w:rPr>
          <w:b w:val="0"/>
          <w:highlight w:val="yellow"/>
        </w:rPr>
        <w:t>[wann]</w:t>
      </w:r>
    </w:p>
    <w:p>
      <w:pPr>
        <w:spacing w:after="60"/>
        <w:ind w:left="340" w:hanging="340"/>
      </w:pPr>
      <w:r>
        <w:rPr>
          <w:b w:val="0"/>
        </w:rPr>
        <w:t>☐</w:t>
        <w:tab/>
        <w:t xml:space="preserve">Teilnehmer auf beiden Seiten: </w:t>
      </w:r>
      <w:r>
        <w:rPr>
          <w:b w:val="0"/>
          <w:highlight w:val="yellow"/>
        </w:rPr>
        <w:t>[wer]</w:t>
      </w:r>
    </w:p>
    <w:p>
      <w:pPr>
        <w:spacing w:after="60"/>
        <w:ind w:left="340" w:hanging="340"/>
      </w:pPr>
      <w:r>
        <w:rPr>
          <w:b w:val="0"/>
        </w:rPr>
        <w:t>☐</w:t>
        <w:tab/>
        <w:t xml:space="preserve">Was bis dahin passiert (von mir, vom Kunden): </w:t>
      </w:r>
      <w:r>
        <w:rPr>
          <w:b w:val="0"/>
          <w:highlight w:val="yellow"/>
        </w:rPr>
        <w:t>[was]</w:t>
      </w:r>
    </w:p>
    <w:p>
      <w:pPr>
        <w:pStyle w:val="Heading1"/>
      </w:pPr>
      <w:r>
        <w:rPr>
          <w:b w:val="0"/>
        </w:rPr>
        <w:t>7. Nachbereitung in den ersten 24 Stunden</w:t>
      </w:r>
    </w:p>
    <w:p>
      <w:pPr>
        <w:spacing w:after="60"/>
        <w:ind w:left="340" w:hanging="340"/>
      </w:pPr>
      <w:r>
        <w:rPr>
          <w:b w:val="0"/>
        </w:rPr>
        <w:t>☐</w:t>
        <w:tab/>
        <w:t>Gesprächsnotiz im CRM: Anlass, Problem, Auswirkung, Zielbild, Beteiligte, Einwände, vereinbarter Schritt, in den Worten des Kunden, nicht in deinen</w:t>
      </w:r>
    </w:p>
    <w:p>
      <w:pPr>
        <w:spacing w:after="60"/>
        <w:ind w:left="340" w:hanging="340"/>
      </w:pPr>
      <w:r>
        <w:rPr>
          <w:b w:val="0"/>
        </w:rPr>
        <w:t>☐</w:t>
        <w:tab/>
        <w:t>Vier Bedingungen aus Teil 4 geprüft: Zählt das Gespräch als qualifiziert?</w:t>
      </w:r>
    </w:p>
    <w:p>
      <w:pPr>
        <w:spacing w:after="60"/>
        <w:ind w:left="340" w:hanging="340"/>
      </w:pPr>
      <w:r>
        <w:rPr>
          <w:b w:val="0"/>
        </w:rPr>
        <w:t>☐</w:t>
        <w:tab/>
        <w:t>Zusammenfassung an den Gesprächspartner, höchstens zehn Zeilen: was du verstanden hast, was vereinbart ist, wann es weitergeht (widerspricht er, hast du etwas falsch verstanden und erfährst es jetzt, nicht beim Angebot)</w:t>
      </w:r>
    </w:p>
    <w:p>
      <w:pPr>
        <w:spacing w:after="60"/>
        <w:ind w:left="340" w:hanging="340"/>
      </w:pPr>
      <w:r>
        <w:rPr>
          <w:b w:val="0"/>
        </w:rPr>
        <w:t>☐</w:t>
        <w:tab/>
        <w:t>Erlaubnis für E-Mail und Unterlagen mit Datum notiert, nur das Angeforderte geschickt</w:t>
      </w:r>
    </w:p>
    <w:p>
      <w:pPr>
        <w:spacing w:after="60"/>
        <w:ind w:left="340" w:hanging="340"/>
      </w:pPr>
      <w:r>
        <w:rPr>
          <w:b w:val="0"/>
        </w:rPr>
        <w:t>☐</w:t>
        <w:tab/>
        <w:t>Übergabe an Kollegen, die beim zweiten Termin dazukommen; niemand fängt dort bei null an</w:t>
      </w:r>
    </w:p>
    <w:p>
      <w:pPr>
        <w:spacing w:after="60"/>
        <w:ind w:left="340" w:hanging="340"/>
      </w:pPr>
      <w:r>
        <w:rPr>
          <w:b w:val="0"/>
        </w:rPr>
        <w:t>☐</w:t>
        <w:tab/>
        <w:t>Buying Center in der Zielkundenliste nachgetragen: Wer entscheidet, wer berät, wer blockiert</w:t>
      </w:r>
    </w:p>
    <w:p>
      <w:pPr>
        <w:spacing w:after="60"/>
        <w:ind w:left="340" w:hanging="340"/>
      </w:pPr>
      <w:r>
        <w:rPr>
          <w:b w:val="0"/>
        </w:rPr>
        <w:t>☐</w:t>
        <w:tab/>
        <w:t>Nachfassen eingeplant, falls der Termin noch nicht fest stand: nach drei Tagen, nach einer Woche, dann ein letztes Mal mit dem Hinweis, dass du das Thema ruhen lässt</w:t>
      </w:r>
    </w:p>
    <w:p>
      <w:pPr>
        <w:spacing w:after="60"/>
        <w:ind w:left="340" w:hanging="340"/>
      </w:pPr>
      <w:r>
        <w:rPr>
          <w:b w:val="0"/>
        </w:rPr>
        <w:t>☐</w:t>
        <w:tab/>
        <w:t>Bei Absage: Grund notiert, Kontakt auf Wiedervorlage (bei vertagtem Anlass) oder auf die Sperrliste (bei Widerspruch)</w:t>
      </w:r>
    </w:p>
    <w:p>
      <w:pPr>
        <w:pStyle w:val="Heading1"/>
      </w:pPr>
      <w:r>
        <w:rPr>
          <w:b w:val="0"/>
        </w:rPr>
        <w:t>Typische Fehler im Erstgespräch</w:t>
      </w:r>
    </w:p>
    <w:p>
      <w:pPr>
        <w:pStyle w:val="ListBullet"/>
      </w:pPr>
      <w:r>
        <w:rPr>
          <w:b/>
        </w:rPr>
        <w:t>Präsentieren statt fragen.</w:t>
      </w:r>
      <w:r>
        <w:rPr>
          <w:b w:val="0"/>
        </w:rPr>
        <w:t xml:space="preserve"> Zwanzig Minuten Unternehmensvorstellung lassen zehn Minuten für den Bedarf. Drehe das Verhältnis um.</w:t>
      </w:r>
    </w:p>
    <w:p>
      <w:pPr>
        <w:pStyle w:val="ListBullet"/>
      </w:pPr>
      <w:r>
        <w:rPr>
          <w:b/>
        </w:rPr>
        <w:t>Ohne Anlass ins Gespräch gehen.</w:t>
      </w:r>
      <w:r>
        <w:rPr>
          <w:b w:val="0"/>
        </w:rPr>
        <w:t xml:space="preserve"> „Wir wollten uns mal vorstellen“ gibt dem Kunden keinen Grund, offen zu reden.</w:t>
      </w:r>
    </w:p>
    <w:p>
      <w:pPr>
        <w:pStyle w:val="ListBullet"/>
      </w:pPr>
      <w:r>
        <w:rPr>
          <w:b/>
        </w:rPr>
        <w:t>Die Fragenliste abarbeiten.</w:t>
      </w:r>
      <w:r>
        <w:rPr>
          <w:b w:val="0"/>
        </w:rPr>
        <w:t xml:space="preserve"> Fünfzehn Fragen im Stakkato sind ein Fragebogen.</w:t>
      </w:r>
    </w:p>
    <w:p>
      <w:pPr>
        <w:pStyle w:val="ListBullet"/>
      </w:pPr>
      <w:r>
        <w:rPr>
          <w:b/>
        </w:rPr>
        <w:t>Der Preisfrage ausweichen.</w:t>
      </w:r>
      <w:r>
        <w:rPr>
          <w:b w:val="0"/>
        </w:rPr>
        <w:t xml:space="preserve"> Ein Rahmen mit Erklärung ist besser als „das kommt darauf an“.</w:t>
      </w:r>
    </w:p>
    <w:p>
      <w:pPr>
        <w:pStyle w:val="ListBullet"/>
      </w:pPr>
      <w:r>
        <w:rPr>
          <w:b/>
        </w:rPr>
        <w:t>Nur ein Kontakt im Unternehmen.</w:t>
      </w:r>
      <w:r>
        <w:rPr>
          <w:b w:val="0"/>
        </w:rPr>
        <w:t xml:space="preserve"> 82 Prozent der befragten Vertriebsleute in Deutschland haben erlebt, dass ein Abschluss sich verzögerte oder scheiterte, weil der Ansprechpartner das Unternehmen verließ (LinkedIn, Stand 2022). Hole die Mitentscheider in den nächsten Termin.</w:t>
      </w:r>
    </w:p>
    <w:p>
      <w:pPr>
        <w:pStyle w:val="ListBullet"/>
      </w:pPr>
      <w:r>
        <w:rPr>
          <w:b/>
        </w:rPr>
        <w:t>Nutzen behaupten statt belegen.</w:t>
      </w:r>
      <w:r>
        <w:rPr>
          <w:b w:val="0"/>
        </w:rPr>
        <w:t xml:space="preserve"> Eine Rechnung mit den Zahlen des Kunden wirkt mehr als jedes Adjektiv.</w:t>
      </w:r>
    </w:p>
    <w:p>
      <w:pPr>
        <w:pStyle w:val="ListBullet"/>
      </w:pPr>
      <w:r>
        <w:rPr>
          <w:b/>
        </w:rPr>
        <w:t>Ohne nächsten Schritt aufhören.</w:t>
      </w:r>
      <w:r>
        <w:rPr>
          <w:b w:val="0"/>
        </w:rPr>
        <w:t xml:space="preserve"> Dann war es ein nettes Gespräch.</w:t>
      </w:r>
    </w:p>
    <w:p>
      <w:pPr>
        <w:pStyle w:val="ListBullet"/>
      </w:pPr>
      <w:r>
        <w:rPr>
          <w:b/>
        </w:rPr>
        <w:t>60 Minuten ansetzen.</w:t>
      </w:r>
      <w:r>
        <w:rPr>
          <w:b w:val="0"/>
        </w:rPr>
        <w:t xml:space="preserve"> Eine Stunde ist schwerer zuzusagen als 30 Minuten mit klarem Ende, und sie verführt zum Präsentieren.</w:t>
      </w:r>
    </w:p>
    <w:p>
      <w:r>
        <w:rPr>
          <w:b w:val="0"/>
        </w:rPr>
        <w:t>Ausführlich im Artikel: https://saleswise.io/blog/erstgespraech-vertrieb/ · Sechs Einwände mit ganzen Dialogen: https://saleswise.io/blog/einwandbehandlung-erstgespraech/ · Zählweise und Kennzahlen: https://saleswise.io/blog/lead-qualifizierung-bant-mql-sql/</w:t>
      </w:r>
    </w:p>
    <w:p>
      <w:r>
        <w:rPr>
          <w:b w:val="0"/>
        </w:rPr>
        <w:t>Wenn du ein Erstgespräch nach diesem Muster einmal von der anderen Seite des Tisches erleben willst: Der Erstgespräch-Check dauert 30 Minuten, ist kostenlos und endet mit einer schriftlichen Einschätzung in 48 Stunden: https://saleswise.io/#check</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26987"/>
        <w:sz w:val="16"/>
      </w:rPr>
      <w:t>saleswise.io · Christoph Weingärtner, Neukunden-System 90 · Stand Oktober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61C5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B2470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61C5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Erstgespräch-Leitfaden: 30-Minuten-Plan, 15 Fragen, Einwände</dc:title>
  <dc:subject/>
  <dc:creator>Christoph Weingärtner, saleswise.io</dc:creator>
  <cp:keywords/>
  <dc:description>generated by python-docx</dc:description>
  <cp:lastModifiedBy/>
  <cp:revision>1</cp:revision>
  <dcterms:created xsi:type="dcterms:W3CDTF">2013-12-23T23:15:00Z</dcterms:created>
  <dcterms:modified xsi:type="dcterms:W3CDTF">2013-12-23T23:15:00Z</dcterms:modified>
  <cp:category/>
</cp:coreProperties>
</file>