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Kaltakquise B2B: Rechtslage je Kanal und Checkliste</w:t>
      </w:r>
    </w:p>
    <w:p>
      <w:r>
        <w:rPr>
          <w:color w:val="626987"/>
          <w:sz w:val="18"/>
        </w:rPr>
        <w:t>Rechtslage je Kanal · saleswise.io</w:t>
      </w:r>
    </w:p>
    <w:p>
      <w:r>
        <w:rPr>
          <w:b w:val="0"/>
        </w:rPr>
        <w:t>Kaltakquise im B2B ist erlaubt, aber nicht auf jedem Kanal gleich. Verboten ist nicht die Kaltakquise, sondern die unzumutbare Belästigung (§ 7 UWG). Ein Werbeanruf bei einem Unternehmen ist zulässig, wenn du von einer zumindest mutmaßlichen Einwilligung ausgehen darfst. E-Mails, Faxe und nach Ansicht der Gerichte auch Nachrichten über LinkedIn oder XING brauchen eine vorherige ausdrückliche Einwilligung, mit einer engen Ausnahme für Bestandskunden. Ein Brief ist erlaubt, solange der Empfänger nicht erkennbar widersprochen hat.</w:t>
      </w:r>
    </w:p>
    <w:p>
      <w:pPr>
        <w:shd w:val="clear" w:color="auto" w:fill="FFF3D6"/>
      </w:pPr>
      <w:r>
        <w:rPr>
          <w:b w:val="0"/>
        </w:rPr>
        <w:t>Hinweis: Diese Checkliste ist keine Rechtsberatung. Sie gibt Gesetzestexte und veröffentlichte Entscheidungen mit Stand Oktober 2026 wieder; ob dein konkretes Vorgehen zulässig ist, hängt vom Einzelfall ab und gehört vor dem Start zu einer Anwältin oder einem Anwalt. Jede Fundstelle steht am Ende mit Link, damit du sie mitnehmen kannst.</w:t>
      </w:r>
    </w:p>
    <w:p>
      <w:pPr>
        <w:pStyle w:val="Heading1"/>
      </w:pPr>
      <w:r>
        <w:rPr>
          <w:b w:val="0"/>
        </w:rPr>
        <w:t>Kurzantwort je Kanal</w:t>
      </w:r>
    </w:p>
    <w:p>
      <w:r>
        <w:rPr>
          <w:b w:val="0"/>
        </w:rPr>
        <w:t>„Erlaubt“ heißt in der Tabelle: zulässig unter der genannten Voraussetzung. Maßgeblich ist § 7 UWG in der Fassung vom Oktober 2026.</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pPr>
              <w:shd w:val="clear" w:color="auto" w:fill="E6E9FB"/>
            </w:pPr>
            <w:r>
              <w:rPr>
                <w:b/>
                <w:sz w:val="19"/>
              </w:rPr>
              <w:t>Kanal</w:t>
            </w:r>
          </w:p>
        </w:tc>
        <w:tc>
          <w:tcPr>
            <w:tcW w:type="dxa" w:w="2436"/>
          </w:tcPr>
          <w:p>
            <w:pPr>
              <w:shd w:val="clear" w:color="auto" w:fill="E6E9FB"/>
            </w:pPr>
            <w:r>
              <w:rPr>
                <w:b/>
                <w:sz w:val="19"/>
              </w:rPr>
              <w:t>Erlaubt?</w:t>
            </w:r>
          </w:p>
        </w:tc>
        <w:tc>
          <w:tcPr>
            <w:tcW w:type="dxa" w:w="2436"/>
          </w:tcPr>
          <w:p>
            <w:pPr>
              <w:shd w:val="clear" w:color="auto" w:fill="E6E9FB"/>
            </w:pPr>
            <w:r>
              <w:rPr>
                <w:b/>
                <w:sz w:val="19"/>
              </w:rPr>
              <w:t>Voraussetzung</w:t>
            </w:r>
          </w:p>
        </w:tc>
        <w:tc>
          <w:tcPr>
            <w:tcW w:type="dxa" w:w="2436"/>
          </w:tcPr>
          <w:p>
            <w:pPr>
              <w:shd w:val="clear" w:color="auto" w:fill="E6E9FB"/>
            </w:pPr>
            <w:r>
              <w:rPr>
                <w:b/>
                <w:sz w:val="19"/>
              </w:rPr>
              <w:t>Fundstelle</w:t>
            </w:r>
          </w:p>
        </w:tc>
      </w:tr>
      <w:tr>
        <w:tc>
          <w:tcPr>
            <w:tcW w:type="dxa" w:w="2436"/>
          </w:tcPr>
          <w:p>
            <w:r>
              <w:rPr>
                <w:b w:val="0"/>
                <w:sz w:val="19"/>
              </w:rPr>
              <w:t>Telefon (Unternehmen)</w:t>
            </w:r>
          </w:p>
        </w:tc>
        <w:tc>
          <w:tcPr>
            <w:tcW w:type="dxa" w:w="2436"/>
          </w:tcPr>
          <w:p>
            <w:r>
              <w:rPr>
                <w:b w:val="0"/>
                <w:sz w:val="19"/>
              </w:rPr>
              <w:t>Ja, mit Einschränkung</w:t>
            </w:r>
          </w:p>
        </w:tc>
        <w:tc>
          <w:tcPr>
            <w:tcW w:type="dxa" w:w="2436"/>
          </w:tcPr>
          <w:p>
            <w:r>
              <w:rPr>
                <w:b w:val="0"/>
                <w:sz w:val="19"/>
              </w:rPr>
              <w:t>Zumindest mutmaßliche Einwilligung: konkreter Anlass aus dem Geschäftsfeld des Angerufenen, der den Anruf erwarten lässt; Rufnummer anzeigen</w:t>
            </w:r>
          </w:p>
        </w:tc>
        <w:tc>
          <w:tcPr>
            <w:tcW w:type="dxa" w:w="2436"/>
          </w:tcPr>
          <w:p>
            <w:r>
              <w:rPr>
                <w:b w:val="0"/>
                <w:sz w:val="19"/>
              </w:rPr>
              <w:t>§ 7 Abs. 2 Nr. 1 UWG; BGH I ZR 88/05; BVerwG 6 C 3.23; § 15 Abs. 2 TDDDG</w:t>
            </w:r>
          </w:p>
        </w:tc>
      </w:tr>
      <w:tr>
        <w:tc>
          <w:tcPr>
            <w:tcW w:type="dxa" w:w="2436"/>
          </w:tcPr>
          <w:p>
            <w:r>
              <w:rPr>
                <w:b w:val="0"/>
                <w:sz w:val="19"/>
              </w:rPr>
              <w:t>E-Mail</w:t>
            </w:r>
          </w:p>
        </w:tc>
        <w:tc>
          <w:tcPr>
            <w:tcW w:type="dxa" w:w="2436"/>
          </w:tcPr>
          <w:p>
            <w:r>
              <w:rPr>
                <w:b w:val="0"/>
                <w:sz w:val="19"/>
              </w:rPr>
              <w:t>Nein, außer mit Einwilligung</w:t>
            </w:r>
          </w:p>
        </w:tc>
        <w:tc>
          <w:tcPr>
            <w:tcW w:type="dxa" w:w="2436"/>
          </w:tcPr>
          <w:p>
            <w:r>
              <w:rPr>
                <w:b w:val="0"/>
                <w:sz w:val="19"/>
              </w:rPr>
              <w:t>Vorherige ausdrückliche Einwilligung (dokumentiert, bei Formularen per Double-Opt-in) oder Bestandskundenausnahme mit allen vier Bedingungen</w:t>
            </w:r>
          </w:p>
        </w:tc>
        <w:tc>
          <w:tcPr>
            <w:tcW w:type="dxa" w:w="2436"/>
          </w:tcPr>
          <w:p>
            <w:r>
              <w:rPr>
                <w:b w:val="0"/>
                <w:sz w:val="19"/>
              </w:rPr>
              <w:t>§ 7 Abs. 2 Nr. 2 und Abs. 3 UWG; BGH I ZR 218/07; AG Düsseldorf 290c C 153/25</w:t>
            </w:r>
          </w:p>
        </w:tc>
      </w:tr>
      <w:tr>
        <w:tc>
          <w:tcPr>
            <w:tcW w:type="dxa" w:w="2436"/>
          </w:tcPr>
          <w:p>
            <w:r>
              <w:rPr>
                <w:b w:val="0"/>
                <w:sz w:val="19"/>
              </w:rPr>
              <w:t>Brief</w:t>
            </w:r>
          </w:p>
        </w:tc>
        <w:tc>
          <w:tcPr>
            <w:tcW w:type="dxa" w:w="2436"/>
          </w:tcPr>
          <w:p>
            <w:r>
              <w:rPr>
                <w:b w:val="0"/>
                <w:sz w:val="19"/>
              </w:rPr>
              <w:t>Ja</w:t>
            </w:r>
          </w:p>
        </w:tc>
        <w:tc>
          <w:tcPr>
            <w:tcW w:type="dxa" w:w="2436"/>
          </w:tcPr>
          <w:p>
            <w:r>
              <w:rPr>
                <w:b w:val="0"/>
                <w:sz w:val="19"/>
              </w:rPr>
              <w:t>Kein erkennbarer Widerspruch des Empfängers; Widerspruch nach Art. 21 DSGVO beachten</w:t>
            </w:r>
          </w:p>
        </w:tc>
        <w:tc>
          <w:tcPr>
            <w:tcW w:type="dxa" w:w="2436"/>
          </w:tcPr>
          <w:p>
            <w:r>
              <w:rPr>
                <w:b w:val="0"/>
                <w:sz w:val="19"/>
              </w:rPr>
              <w:t>§ 7 Abs. 1 UWG; Merkblatt IHK Düsseldorf</w:t>
            </w:r>
          </w:p>
        </w:tc>
      </w:tr>
      <w:tr>
        <w:tc>
          <w:tcPr>
            <w:tcW w:type="dxa" w:w="2436"/>
          </w:tcPr>
          <w:p>
            <w:r>
              <w:rPr>
                <w:b w:val="0"/>
                <w:sz w:val="19"/>
              </w:rPr>
              <w:t>LinkedIn- oder XING-Nachricht</w:t>
            </w:r>
          </w:p>
        </w:tc>
        <w:tc>
          <w:tcPr>
            <w:tcW w:type="dxa" w:w="2436"/>
          </w:tcPr>
          <w:p>
            <w:r>
              <w:rPr>
                <w:b w:val="0"/>
                <w:sz w:val="19"/>
              </w:rPr>
              <w:t>Umstritten, Tendenz nein</w:t>
            </w:r>
          </w:p>
        </w:tc>
        <w:tc>
          <w:tcPr>
            <w:tcW w:type="dxa" w:w="2436"/>
          </w:tcPr>
          <w:p>
            <w:r>
              <w:rPr>
                <w:b w:val="0"/>
                <w:sz w:val="19"/>
              </w:rPr>
              <w:t>Gerichte ordnen Nachrichten in sozialen Netzwerken als elektronische Post ein, also Einwilligungspflicht wie bei E-Mail; die Vernetzung ist keine Einwilligung</w:t>
            </w:r>
          </w:p>
        </w:tc>
        <w:tc>
          <w:tcPr>
            <w:tcW w:type="dxa" w:w="2436"/>
          </w:tcPr>
          <w:p>
            <w:r>
              <w:rPr>
                <w:b w:val="0"/>
                <w:sz w:val="19"/>
              </w:rPr>
              <w:t>OLG Hamm 18 U 154/22; OLG Braunschweig 2 W 11/14; AG Düsseldorf 23 C 120/25</w:t>
            </w:r>
          </w:p>
        </w:tc>
      </w:tr>
      <w:tr>
        <w:tc>
          <w:tcPr>
            <w:tcW w:type="dxa" w:w="2436"/>
          </w:tcPr>
          <w:p>
            <w:r>
              <w:rPr>
                <w:b w:val="0"/>
                <w:sz w:val="19"/>
              </w:rPr>
              <w:t>Messe, persönliches Gespräch</w:t>
            </w:r>
          </w:p>
        </w:tc>
        <w:tc>
          <w:tcPr>
            <w:tcW w:type="dxa" w:w="2436"/>
          </w:tcPr>
          <w:p>
            <w:r>
              <w:rPr>
                <w:b w:val="0"/>
                <w:sz w:val="19"/>
              </w:rPr>
              <w:t>Ja</w:t>
            </w:r>
          </w:p>
        </w:tc>
        <w:tc>
          <w:tcPr>
            <w:tcW w:type="dxa" w:w="2436"/>
          </w:tcPr>
          <w:p>
            <w:r>
              <w:rPr>
                <w:b w:val="0"/>
                <w:sz w:val="19"/>
              </w:rPr>
              <w:t>Kein Sonderverbot; die Visitenkarte ist aber keine Einwilligung in spätere Werbe-E-Mails</w:t>
            </w:r>
          </w:p>
        </w:tc>
        <w:tc>
          <w:tcPr>
            <w:tcW w:type="dxa" w:w="2436"/>
          </w:tcPr>
          <w:p>
            <w:r>
              <w:rPr>
                <w:b w:val="0"/>
                <w:sz w:val="19"/>
              </w:rPr>
              <w:t>§ 7 Abs. 1 UWG; Merkblatt IHK Düsseldorf</w:t>
            </w:r>
          </w:p>
        </w:tc>
      </w:tr>
      <w:tr>
        <w:tc>
          <w:tcPr>
            <w:tcW w:type="dxa" w:w="2436"/>
          </w:tcPr>
          <w:p>
            <w:r>
              <w:rPr>
                <w:b w:val="0"/>
                <w:sz w:val="19"/>
              </w:rPr>
              <w:t>Fax</w:t>
            </w:r>
          </w:p>
        </w:tc>
        <w:tc>
          <w:tcPr>
            <w:tcW w:type="dxa" w:w="2436"/>
          </w:tcPr>
          <w:p>
            <w:r>
              <w:rPr>
                <w:b w:val="0"/>
                <w:sz w:val="19"/>
              </w:rPr>
              <w:t>Nein, außer mit Einwilligung</w:t>
            </w:r>
          </w:p>
        </w:tc>
        <w:tc>
          <w:tcPr>
            <w:tcW w:type="dxa" w:w="2436"/>
          </w:tcPr>
          <w:p>
            <w:r>
              <w:rPr>
                <w:b w:val="0"/>
                <w:sz w:val="19"/>
              </w:rPr>
              <w:t>Vorherige ausdrückliche Einwilligung, auch bei Unternehmen</w:t>
            </w:r>
          </w:p>
        </w:tc>
        <w:tc>
          <w:tcPr>
            <w:tcW w:type="dxa" w:w="2436"/>
          </w:tcPr>
          <w:p>
            <w:r>
              <w:rPr>
                <w:b w:val="0"/>
                <w:sz w:val="19"/>
              </w:rPr>
              <w:t>§ 7 Abs. 2 Nr. 2 UWG</w:t>
            </w:r>
          </w:p>
        </w:tc>
      </w:tr>
    </w:tbl>
    <w:p/>
    <w:p>
      <w:r>
        <w:rPr>
          <w:b w:val="0"/>
        </w:rPr>
        <w:t>Auf jedem Kanal gilt außerdem: Der Absender muss erkennbar sein, jede Nachricht braucht eine gültige Adresse zum Abbestellen (§ 7 Abs. 2 Nr. 3 UWG), und was erkennbar unerwünscht ist, bleibt auch auf einem erlaubten Kanal unzulässig (§ 7 Abs. 1 Satz 2 UWG). Verbraucher darfst du ohne ausdrückliche Einwilligung gar nicht anrufen; hier geht es nur um Unternehmen.</w:t>
      </w:r>
    </w:p>
    <w:p>
      <w:pPr>
        <w:pStyle w:val="Heading1"/>
      </w:pPr>
      <w:r>
        <w:rPr>
          <w:b w:val="0"/>
        </w:rPr>
        <w:t>Was „mutmaßliche Einwilligung“ bedeutet</w:t>
      </w:r>
    </w:p>
    <w:p>
      <w:r>
        <w:rPr>
          <w:b w:val="0"/>
        </w:rPr>
        <w:t>Bei Unternehmen reicht am Telefon eine zumindest mutmaßliche Einwilligung. Der Bundesgerichtshof hat den Begriff in zwei Urteilen umrissen. Nach dem Urteil vom 16.11.2006 (I ZR 191/03) kommt es auf die Umstände vor dem Anruf sowie auf Art und Inhalt der Werbung an; ein allgemeiner Sachbezug zum Geschäft des Angerufenen genügt nicht. Nach dem Urteil vom 20.09.2007 (I ZR 88/05) musst du aufgrund konkreter Umstände annehmen dürfen, dass der Angerufene den Anruf erwartet oder ihm positiv gegenübersteht, und zwar dem Anruf selbst, nicht nur dem Thema.</w:t>
      </w:r>
    </w:p>
    <w:p>
      <w:r>
        <w:rPr>
          <w:b w:val="0"/>
        </w:rPr>
        <w:t>Das Bundesverwaltungsgericht hat diese Linie am 29.01.2025 (6 C 3.23) bestätigt: Ein Unternehmen hatte Zahnarztpraxen über Nummern aus Verzeichnissen angerufen, um Edelmetallreste anzukaufen. Die Nummern dienten der Erreichbarkeit für Patienten, nicht dem Empfang von Angeboten, also keine mutmaßliche Einwilligung, auch nicht für einen Anrufer, der kaufen statt verkaufen will. Dass dein Angebot für den Betrieb nützlich wäre, reicht nach dem Merkblatt der IHK Düsseldorf (Stand Juli 2023, mit Verweis auf OLG Hamm, 4 U 189/09) ebenfalls nicht.</w:t>
      </w:r>
    </w:p>
    <w:p>
      <w:r>
        <w:rPr>
          <w:b/>
        </w:rPr>
        <w:t>Was trägt:</w:t>
      </w:r>
      <w:r>
        <w:rPr>
          <w:b w:val="0"/>
        </w:rPr>
        <w:t xml:space="preserve"> ein konkreter Anlass bei genau diesem Unternehmen, ein Angebot aus seinem Kerngeschäft und ein kurzer, sachlicher Anruf. Sagt der Angerufene, dass er keine Anrufe wünscht, endet die mutmaßliche Einwilligung an dieser Stelle.</w:t>
      </w:r>
    </w:p>
    <w:p>
      <w:r>
        <w:rPr>
          <w:b w:val="0"/>
        </w:rPr>
        <w:t>Ein typisches Beispiel, keine Kundenstory: Ein Dienstleister für die Instandhaltung von Werkzeugmaschinen ruft einen Automobilzulieferer an, der gerade eine neue Fertigungslinie angekündigt und eine Stelle für die Instandhaltungsleitung ausgeschrieben hat. Die Leistung gehört zum Kerngeschäft des Angerufenen, der Anlass ist konkret und öffentlich, der Anruf bezieht sich darauf. Das ist deutlich näher an der mutmaßlichen Einwilligung als ein Anruf aus einer gekauften Liste bei Hunderten Firmen mit passendem Branchencode. Ob es im Streitfall reicht, entscheidet ein Gericht anhand aller Umstände; sicher ist nur die bessere Ausgangslage.</w:t>
      </w:r>
    </w:p>
    <w:p>
      <w:pPr>
        <w:spacing w:after="60"/>
        <w:ind w:left="340" w:hanging="340"/>
      </w:pPr>
      <w:r>
        <w:rPr>
          <w:b w:val="0"/>
        </w:rPr>
        <w:t>☐</w:t>
        <w:tab/>
        <w:t>Der Anruf hat einen konkreten, belegbaren Anlass bei genau diesem Unternehmen (Quelle notiert)</w:t>
      </w:r>
    </w:p>
    <w:p>
      <w:pPr>
        <w:spacing w:after="60"/>
        <w:ind w:left="340" w:hanging="340"/>
      </w:pPr>
      <w:r>
        <w:rPr>
          <w:b w:val="0"/>
        </w:rPr>
        <w:t>☐</w:t>
        <w:tab/>
        <w:t>Das Angebot gehört zum Kerngeschäft des Angerufenen</w:t>
      </w:r>
    </w:p>
    <w:p>
      <w:pPr>
        <w:spacing w:after="60"/>
        <w:ind w:left="340" w:hanging="340"/>
      </w:pPr>
      <w:r>
        <w:rPr>
          <w:b w:val="0"/>
        </w:rPr>
        <w:t>☐</w:t>
        <w:tab/>
        <w:t>Die Rufnummer wird angezeigt (§ 15 Abs. 2 TDDDG), der Anruf ist kurz und sachlich</w:t>
      </w:r>
    </w:p>
    <w:p>
      <w:pPr>
        <w:spacing w:after="60"/>
        <w:ind w:left="340" w:hanging="340"/>
      </w:pPr>
      <w:r>
        <w:rPr>
          <w:b w:val="0"/>
        </w:rPr>
        <w:t>☐</w:t>
        <w:tab/>
        <w:t>Ein „Bitte nicht mehr anrufen“ wird sofort notiert und beendet weitere Anrufe</w:t>
      </w:r>
    </w:p>
    <w:p>
      <w:pPr>
        <w:pStyle w:val="Heading1"/>
      </w:pPr>
      <w:r>
        <w:rPr>
          <w:b w:val="0"/>
        </w:rPr>
        <w:t>E-Mail mit Einwilligung, Double-Opt-in und Bestandskundenausnahme</w:t>
      </w:r>
    </w:p>
    <w:p>
      <w:r>
        <w:rPr>
          <w:b w:val="0"/>
        </w:rPr>
        <w:t>Für E-Mail gilt die strengere Regel: Ohne vorherige ausdrückliche Einwilligung des Adressaten ist Werbung unzulässig, auch gegenüber Unternehmen. Schon eine einzige unverlangte Werbe-E-Mail an ein Unternehmen ist ein rechtswidriger Eingriff in den eingerichteten und ausgeübten Gewerbebetrieb (BGH, Beschluss vom 20.05.2009, I ZR 218/07); ein Geschäftsführer, der selbst als Absender auftritt, haftet persönlich. Eine Adresse im Impressum, auf dem Briefkopf oder auf einer Visitenkarte ist keine Einwilligung, „Sprechen Sie uns an“ auf der Website auch nicht, und ein Abmeldelink beseitigt die Wiederholungsgefahr nicht (AG Düsseldorf, Urteil vom 19.01.2026, 290c C 153/25, nach dem Bericht der IHK Darmstadt).</w:t>
      </w:r>
    </w:p>
    <w:p>
      <w:r>
        <w:rPr>
          <w:b w:val="0"/>
        </w:rPr>
        <w:t>Eine Einwilligung ist eine bewusste, aktive Erklärung für genau diesen Zweck und diesen Kanal. Ein vorangekreuztes Kästchen oder eine Widerspruchslösung zählen nicht, und beweisen musst du die Einwilligung im Streitfall selbst. Deshalb hat sich das Double-Opt-in-Verfahren durchgesetzt: Der Empfänger bestätigt seine Adresse per Klick, du speicherst Zeitpunkt und Wortlaut. Der BGH verlangt eine vollständige Dokumentation jeder Einwilligung und stellt klar, dass eine Bestätigungsmail kein Einverständnis mit Werbeanrufen belegt; die Einwilligung muss zum Kanal passen (Urteil vom 10.02.2011, I ZR 164/09).</w:t>
      </w:r>
    </w:p>
    <w:p>
      <w:pPr>
        <w:pStyle w:val="Heading2"/>
      </w:pPr>
      <w:r>
        <w:rPr>
          <w:b w:val="0"/>
        </w:rPr>
        <w:t>Die Bestandskundenausnahme in vier Bedingungen</w:t>
      </w:r>
    </w:p>
    <w:p>
      <w:r>
        <w:rPr>
          <w:b w:val="0"/>
        </w:rPr>
        <w:t>§ 7 Abs. 3 UWG erlaubt E-Mail-Werbung ohne Einwilligung nur, wenn alle vier Bedingungen zusammenkommen:</w:t>
      </w:r>
    </w:p>
    <w:p>
      <w:pPr>
        <w:spacing w:after="60"/>
        <w:ind w:left="340" w:hanging="340"/>
      </w:pPr>
      <w:r>
        <w:rPr>
          <w:b w:val="0"/>
        </w:rPr>
        <w:t>☐</w:t>
        <w:tab/>
        <w:t>1. Du hast die Adresse im Zusammenhang mit dem Verkauf einer Ware oder Dienstleistung vom Kunden erhalten</w:t>
      </w:r>
    </w:p>
    <w:p>
      <w:pPr>
        <w:spacing w:after="60"/>
        <w:ind w:left="340" w:hanging="340"/>
      </w:pPr>
      <w:r>
        <w:rPr>
          <w:b w:val="0"/>
        </w:rPr>
        <w:t>☐</w:t>
        <w:tab/>
        <w:t>2. Du wirbst für eigene ähnliche Waren oder Dienstleistungen</w:t>
      </w:r>
    </w:p>
    <w:p>
      <w:pPr>
        <w:spacing w:after="60"/>
        <w:ind w:left="340" w:hanging="340"/>
      </w:pPr>
      <w:r>
        <w:rPr>
          <w:b w:val="0"/>
        </w:rPr>
        <w:t>☐</w:t>
        <w:tab/>
        <w:t>3. Der Kunde hat der Verwendung nicht widersprochen</w:t>
      </w:r>
    </w:p>
    <w:p>
      <w:pPr>
        <w:spacing w:after="60"/>
        <w:ind w:left="340" w:hanging="340"/>
      </w:pPr>
      <w:r>
        <w:rPr>
          <w:b w:val="0"/>
        </w:rPr>
        <w:t>☐</w:t>
        <w:tab/>
        <w:t>4. Du hast bei der Erhebung und in jeder E-Mail klar auf das Widerspruchsrecht hingewiesen</w:t>
      </w:r>
    </w:p>
    <w:p>
      <w:r>
        <w:rPr>
          <w:b w:val="0"/>
        </w:rPr>
        <w:t>Für die Kaltakquise ist die Ausnahme unbrauchbar, denn es gibt keinen Verkauf. Auch das Urteil des Europäischen Gerichtshofs vom 13.11.2025 (C-654/23), nach dem schon eine kostenlose Registrierung gegen Daten ein „Verkauf“ sein kann, setzt eine bestehende Beziehung voraus. Für echte Neukontakte bleibt damit ein Weg: erst ein zulässiger Kontakt (Anruf mit Anlass, Messegespräch, Brief), dann die Frage, ob du Unterlagen per E-Mail schicken darfst, mit Datum und Wortlaut notiert.</w:t>
      </w:r>
    </w:p>
    <w:p>
      <w:pPr>
        <w:pStyle w:val="Heading1"/>
      </w:pPr>
      <w:r>
        <w:rPr>
          <w:b w:val="0"/>
        </w:rPr>
        <w:t>LinkedIn und XING gelten als elektronische Post</w:t>
      </w:r>
    </w:p>
    <w:p>
      <w:r>
        <w:rPr>
          <w:b w:val="0"/>
        </w:rPr>
        <w:t>Das Gesetz nennt keine Plattformen, sondern „elektronische Post“, und der BGH legt den Begriff technologieoffen aus (Urteil vom 13.01.2022, I ZR 25/19, im Anschluss an den EuGH, C-102/20). Das OLG Hamm hat das 2023 auf Netzwerke übertragen: Elektronische Post seien sämtliche Nachrichten über Dienste wie XING, Facebook, LinkedIn oder WhatsApp, ebenso Nachrichten über die Kontaktformulare von Portalen (Hinweisbeschluss vom 03.05.2023, 18 U 154/22); die Akquise-Vereinbarung einer Agentur, die so gearbeitet hatte, hielt der Senat für nichtig. Für XING-Kontaktanfragen mit Werbetext gilt das laut OLG Braunschweig (Beschluss vom 10.02.2014, 2 W 11/14) schon seit 2014. Eine Vernetzung ist keine Einwilligung: Das AG Düsseldorf hat einen IT-Dienstleister verurteilt, der nach einer indirekten LinkedIn-Verbindung zwei Werbe-E-Mails an eine GmbH geschickt hatte (Urteil vom 20.11.2025, 23 C 120/25): Unterlassung, 453,87 € Abmahnkosten und für jeden weiteren Verstoß ein Ordnungsgeld bis 250.000 €.</w:t>
      </w:r>
    </w:p>
    <w:p>
      <w:r>
        <w:rPr>
          <w:b w:val="0"/>
        </w:rPr>
        <w:t>Ein rechtskräftiges Urteil zu einer LinkedIn-Nachricht fehlt noch, deshalb „umstritten“; die Richtung ist eindeutig. Nicht entschieden sind die werbefreie Kontaktanfrage, der Kommentar unter einem Beitrag und die Antwort auf eine Nachricht des anderen. Faustregel: Je werblicher der Text, desto näher an der unzulässigen E-Mail. LinkedIn taugt als Verstärker, der dich sichtbar macht, nicht als Kanal für Massen-Nachrichten.</w:t>
      </w:r>
    </w:p>
    <w:p>
      <w:pPr>
        <w:pStyle w:val="Heading1"/>
      </w:pPr>
      <w:r>
        <w:rPr>
          <w:b w:val="0"/>
        </w:rPr>
        <w:t>Warum die DSGVO keine Abkürzung ist</w:t>
      </w:r>
    </w:p>
    <w:p>
      <w:r>
        <w:rPr>
          <w:b w:val="0"/>
        </w:rPr>
        <w:t>Art. 6 Abs. 1 lit. f DSGVO (berechtigtes Interesse) und Erwägungsgrund 47, der Direktwerbung als mögliches berechtigtes Interesse nennt, regeln nur, ob du die Daten verarbeiten darfst, nicht, ob du den Kanal nutzen darfst. Das Bundesverwaltungsgericht hat beides verknüpft: In die Abwägung fließen die Wertungen des § 7 UWG ein. Fehlt die mutmaßliche Einwilligung für den Anruf, fehlt auch das berechtigte Interesse, und die Datenschutzbehörde kann die Anrufe untersagen.</w:t>
      </w:r>
    </w:p>
    <w:p>
      <w:r>
        <w:rPr>
          <w:b w:val="0"/>
        </w:rPr>
        <w:t>Zwei Pflichten kommen hinzu. Nach Art. 14 DSGVO musst du Personen, deren Daten du nicht bei ihnen selbst erhoben hast, über Quelle und Zweck informieren, spätestens bei der ersten Mitteilung; in der Praxis ist das ein Satz in der Nachricht plus ein Link auf deine Datenschutzerklärung. Nach Art. 21 Abs. 2 und 3 DSGVO kann jede Person der Direktwerbung jederzeit widersprechen; danach darfst du ihre Daten dafür nicht mehr verwenden. Eine Sperrliste ist also Pflicht. Trenne außerdem Unternehmensdaten (Branche, Standorte, Stellenanzeigen) von Personendaten (Name, Rolle, Adresse eines Ansprechpartners): Nur die zweiten fallen unter die DSGVO, und Daten aus Privatprofilen haben in der Ansprache nichts verloren.</w:t>
      </w:r>
    </w:p>
    <w:p>
      <w:pPr>
        <w:pStyle w:val="Heading1"/>
      </w:pPr>
      <w:r>
        <w:rPr>
          <w:b w:val="0"/>
        </w:rPr>
        <w:t>Was bei Verstößen droht</w:t>
      </w:r>
    </w:p>
    <w:p>
      <w:pPr>
        <w:pStyle w:val="ListBullet"/>
      </w:pPr>
      <w:r>
        <w:rPr>
          <w:b w:val="0"/>
        </w:rPr>
        <w:t>Abmahnung mit Erstattung der Anwaltskosten und strafbewehrter Unterlassungserklärung durch Mitbewerber, Verbände oder Kammern (§ 8 und § 13 UWG). Die Vertragsstrafe liegt nach dem Merkblatt der IHK Düsseldorf regelmäßig bei mehreren Tausend Euro (Stand Juli 2023); § 13a Abs. 3 UWG deckelt sie bei 1.000 €, aber nur für Betriebe unter 100 Mitarbeitern und nur bei unerheblichen Verstößen.</w:t>
      </w:r>
    </w:p>
    <w:p>
      <w:pPr>
        <w:pStyle w:val="ListBullet"/>
      </w:pPr>
      <w:r>
        <w:rPr>
          <w:b w:val="0"/>
        </w:rPr>
        <w:t>Unterlassungsklage des Empfängers selbst über §§ 823, 1004 BGB. Schadensersatz nach Art. 82 DSGVO gibt es dagegen nicht automatisch: Eine unerwünschte Werbe-E-Mail allein belegt keinen immateriellen Schaden (BGH, Urteil vom 28.01.2025, VI ZR 109/23).</w:t>
      </w:r>
    </w:p>
    <w:p>
      <w:pPr>
        <w:pStyle w:val="ListBullet"/>
      </w:pPr>
      <w:r>
        <w:rPr>
          <w:b w:val="0"/>
        </w:rPr>
        <w:t>Bußgeld nach § 20 UWG von bis zu 300.000 € nur für Werbeanrufe bei Verbrauchern; die Bundesnetzagentur hat dafür 2025 Bußgelder von über 1,099 Millionen Euro verhängt (Pressemitteilung vom 26.01.2026).</w:t>
      </w:r>
    </w:p>
    <w:p>
      <w:pPr>
        <w:pStyle w:val="ListBullet"/>
      </w:pPr>
      <w:r>
        <w:rPr>
          <w:b w:val="0"/>
        </w:rPr>
        <w:t>Bußgelder der Datenschutzbehörden nach Art. 83 Abs. 5 DSGVO bis 20 Millionen Euro oder 4 Prozent des weltweiten Jahresumsatzes.</w:t>
      </w:r>
    </w:p>
    <w:p>
      <w:pPr>
        <w:pStyle w:val="ListBullet"/>
      </w:pPr>
      <w:r>
        <w:rPr>
          <w:b w:val="0"/>
        </w:rPr>
        <w:t>Ein nichtiger Vertrag mit einer Agentur, die so arbeitet, wie im Fall vor dem OLG Hamm.</w:t>
      </w:r>
    </w:p>
    <w:p>
      <w:pPr>
        <w:pStyle w:val="Heading1"/>
      </w:pPr>
      <w:r>
        <w:rPr>
          <w:b w:val="0"/>
        </w:rPr>
        <w:t>Checkliste für saubere Ansprache</w:t>
      </w:r>
    </w:p>
    <w:p>
      <w:pPr>
        <w:spacing w:after="60"/>
        <w:ind w:left="340" w:hanging="340"/>
      </w:pPr>
      <w:r>
        <w:rPr>
          <w:b w:val="0"/>
        </w:rPr>
        <w:t>☐</w:t>
        <w:tab/>
      </w:r>
      <w:r>
        <w:rPr>
          <w:b/>
        </w:rPr>
        <w:t>Bezug zum Geschäftsfeld.</w:t>
      </w:r>
      <w:r>
        <w:rPr>
          <w:b w:val="0"/>
        </w:rPr>
        <w:t xml:space="preserve"> Nur Unternehmen ansprechen, deren Kerngeschäft mit deinem Angebot zu tun hat, und den Anlass festhalten: Ausschreibung, Stellenanzeige, Wachstum, Wechsel in der Führung.</w:t>
      </w:r>
    </w:p>
    <w:p>
      <w:pPr>
        <w:spacing w:after="60"/>
        <w:ind w:left="340" w:hanging="340"/>
      </w:pPr>
      <w:r>
        <w:rPr>
          <w:b w:val="0"/>
        </w:rPr>
        <w:t>☐</w:t>
        <w:tab/>
      </w:r>
      <w:r>
        <w:rPr>
          <w:b/>
        </w:rPr>
        <w:t>Kanal nach Rechtslage.</w:t>
      </w:r>
      <w:r>
        <w:rPr>
          <w:b w:val="0"/>
        </w:rPr>
        <w:t xml:space="preserve"> Erstkontakt per Telefon mit Anlass, per Brief oder persönlich; E-Mail und Netzwerk-Nachrichten erst nach Einwilligung oder auf Bitte des anderen.</w:t>
      </w:r>
    </w:p>
    <w:p>
      <w:pPr>
        <w:spacing w:after="60"/>
        <w:ind w:left="340" w:hanging="340"/>
      </w:pPr>
      <w:r>
        <w:rPr>
          <w:b w:val="0"/>
        </w:rPr>
        <w:t>☐</w:t>
        <w:tab/>
      </w:r>
      <w:r>
        <w:rPr>
          <w:b/>
        </w:rPr>
        <w:t>Absender und Abmeldung.</w:t>
      </w:r>
      <w:r>
        <w:rPr>
          <w:b w:val="0"/>
        </w:rPr>
        <w:t xml:space="preserve"> In jeder Nachricht stehen Firma, Ansprechpartner und ein Weg, weitere Nachrichten abzubestellen.</w:t>
      </w:r>
    </w:p>
    <w:p>
      <w:pPr>
        <w:spacing w:after="60"/>
        <w:ind w:left="340" w:hanging="340"/>
      </w:pPr>
      <w:r>
        <w:rPr>
          <w:b w:val="0"/>
        </w:rPr>
        <w:t>☐</w:t>
        <w:tab/>
      </w:r>
      <w:r>
        <w:rPr>
          <w:b/>
        </w:rPr>
        <w:t>Sperrliste ab dem ersten Widerspruch.</w:t>
      </w:r>
      <w:r>
        <w:rPr>
          <w:b w:val="0"/>
        </w:rPr>
        <w:t xml:space="preserve"> Jeder Widerspruch, egal auf welchem Weg, landet sofort in der Sperrliste, die du vor jeder Welle abgleichst.</w:t>
      </w:r>
    </w:p>
    <w:p>
      <w:pPr>
        <w:spacing w:after="60"/>
        <w:ind w:left="340" w:hanging="340"/>
      </w:pPr>
      <w:r>
        <w:rPr>
          <w:b w:val="0"/>
        </w:rPr>
        <w:t>☐</w:t>
        <w:tab/>
      </w:r>
      <w:r>
        <w:rPr>
          <w:b/>
        </w:rPr>
        <w:t>Unternehmensdaten statt Privatprofile.</w:t>
      </w:r>
      <w:r>
        <w:rPr>
          <w:b w:val="0"/>
        </w:rPr>
        <w:t xml:space="preserve"> Personalisieren aus öffentlichen Unternehmensdaten, nicht aus privaten Beiträgen oder Profilen.</w:t>
      </w:r>
    </w:p>
    <w:p>
      <w:pPr>
        <w:spacing w:after="60"/>
        <w:ind w:left="340" w:hanging="340"/>
      </w:pPr>
      <w:r>
        <w:rPr>
          <w:b w:val="0"/>
        </w:rPr>
        <w:t>☐</w:t>
        <w:tab/>
      </w:r>
      <w:r>
        <w:rPr>
          <w:b/>
        </w:rPr>
        <w:t>Information nach Art. 14 DSGVO.</w:t>
      </w:r>
      <w:r>
        <w:rPr>
          <w:b w:val="0"/>
        </w:rPr>
        <w:t xml:space="preserve"> In der ersten Nachricht nennen, woher die Daten stammen, und die Datenschutzerklärung verlinken.</w:t>
      </w:r>
    </w:p>
    <w:p>
      <w:pPr>
        <w:spacing w:after="60"/>
        <w:ind w:left="340" w:hanging="340"/>
      </w:pPr>
      <w:r>
        <w:rPr>
          <w:b w:val="0"/>
        </w:rPr>
        <w:t>☐</w:t>
        <w:tab/>
      </w:r>
      <w:r>
        <w:rPr>
          <w:b/>
        </w:rPr>
        <w:t>Einwilligungen dokumentieren.</w:t>
      </w:r>
      <w:r>
        <w:rPr>
          <w:b w:val="0"/>
        </w:rPr>
        <w:t xml:space="preserve"> Zeitpunkt, Wortlaut und Kanal jeder Einwilligung speichern, bei E-Mail per Double-Opt-in.</w:t>
      </w:r>
    </w:p>
    <w:p>
      <w:pPr>
        <w:spacing w:after="60"/>
        <w:ind w:left="340" w:hanging="340"/>
      </w:pPr>
      <w:r>
        <w:rPr>
          <w:b w:val="0"/>
        </w:rPr>
        <w:t>☐</w:t>
        <w:tab/>
      </w:r>
      <w:r>
        <w:rPr>
          <w:b/>
        </w:rPr>
        <w:t>Rufnummer anzeigen</w:t>
      </w:r>
      <w:r>
        <w:rPr>
          <w:b w:val="0"/>
        </w:rPr>
        <w:t xml:space="preserve"> und den Anruf kurz halten.</w:t>
      </w:r>
    </w:p>
    <w:p>
      <w:pPr>
        <w:spacing w:after="60"/>
        <w:ind w:left="340" w:hanging="340"/>
      </w:pPr>
      <w:r>
        <w:rPr>
          <w:b w:val="0"/>
        </w:rPr>
        <w:t>☐</w:t>
        <w:tab/>
      </w:r>
      <w:r>
        <w:rPr>
          <w:b/>
        </w:rPr>
        <w:t>Rechtlicher Rahmen schriftlich.</w:t>
      </w:r>
      <w:r>
        <w:rPr>
          <w:b w:val="0"/>
        </w:rPr>
        <w:t xml:space="preserve"> Vor dem Start festlegen, welche Kanäle du nutzt, was du prüfst und welches Restrisiko du bewusst trägst, auch gegenüber einer Agentur: Nach § 8 Abs. 2 UWG richten sich Ansprüche bei Verstößen eines Beauftragten auch gegen dich.</w:t>
      </w:r>
    </w:p>
    <w:p>
      <w:pPr>
        <w:spacing w:after="60"/>
        <w:ind w:left="340" w:hanging="340"/>
      </w:pPr>
      <w:r>
        <w:rPr>
          <w:b w:val="0"/>
        </w:rPr>
        <w:t>☐</w:t>
        <w:tab/>
      </w:r>
      <w:r>
        <w:rPr>
          <w:b/>
        </w:rPr>
        <w:t>Keine gekauften Listen.</w:t>
      </w:r>
      <w:r>
        <w:rPr>
          <w:b w:val="0"/>
        </w:rPr>
        <w:t xml:space="preserve"> Wer Adressen kauft, weiß meist nicht, woher sie stammen und wer schon widersprochen hat.</w:t>
      </w:r>
    </w:p>
    <w:p>
      <w:pPr>
        <w:pStyle w:val="Heading2"/>
      </w:pPr>
      <w:r>
        <w:rPr>
          <w:b w:val="0"/>
        </w:rPr>
        <w:t>Typische Fehler, die zur Abmahnung führen</w:t>
      </w:r>
    </w:p>
    <w:p>
      <w:pPr>
        <w:pStyle w:val="ListBullet"/>
      </w:pPr>
      <w:r>
        <w:rPr>
          <w:b w:val="0"/>
        </w:rPr>
        <w:t>Die E-Mail-Adresse aus dem Impressum oder von der Visitenkarte für eine Erlaubnis halten.</w:t>
      </w:r>
    </w:p>
    <w:p>
      <w:pPr>
        <w:pStyle w:val="ListBullet"/>
      </w:pPr>
      <w:r>
        <w:rPr>
          <w:b w:val="0"/>
        </w:rPr>
        <w:t>Von „nützlich für den Betrieb“ auf „mutmaßlich erwünscht“ schließen.</w:t>
      </w:r>
    </w:p>
    <w:p>
      <w:pPr>
        <w:pStyle w:val="ListBullet"/>
      </w:pPr>
      <w:r>
        <w:rPr>
          <w:b w:val="0"/>
        </w:rPr>
        <w:t>Nach der LinkedIn-Vernetzung per E-Mail weiterschreiben, als wäre das eine Zustimmung.</w:t>
      </w:r>
    </w:p>
    <w:p>
      <w:pPr>
        <w:pStyle w:val="ListBullet"/>
      </w:pPr>
      <w:r>
        <w:rPr>
          <w:b w:val="0"/>
        </w:rPr>
        <w:t>Mit Widerspruchslösung („Wenn Sie keine weiteren Nachrichten wünschen …“) statt mit Einwilligung arbeiten.</w:t>
      </w:r>
    </w:p>
    <w:p>
      <w:pPr>
        <w:pStyle w:val="ListBullet"/>
      </w:pPr>
      <w:r>
        <w:rPr>
          <w:b w:val="0"/>
        </w:rPr>
        <w:t>Beim Anruf die Rufnummer unterdrücken oder den Absender verschleiern.</w:t>
      </w:r>
    </w:p>
    <w:p>
      <w:pPr>
        <w:pStyle w:val="ListBullet"/>
      </w:pPr>
      <w:r>
        <w:rPr>
          <w:b w:val="0"/>
        </w:rPr>
        <w:t>Einen Widerspruch ignorieren, weil er nur mündlich oder nur an die Zentrale ging.</w:t>
      </w:r>
    </w:p>
    <w:p>
      <w:pPr>
        <w:pStyle w:val="ListBullet"/>
      </w:pPr>
      <w:r>
        <w:rPr>
          <w:b w:val="0"/>
        </w:rPr>
        <w:t>Eine Agentur beauftragen, ohne den rechtlichen Rahmen schriftlich festzulegen.</w:t>
      </w:r>
    </w:p>
    <w:p>
      <w:pPr>
        <w:pStyle w:val="Heading1"/>
      </w:pPr>
      <w:r>
        <w:rPr>
          <w:b w:val="0"/>
        </w:rPr>
        <w:t>Fundstellen</w:t>
      </w:r>
    </w:p>
    <w:p>
      <w:pPr>
        <w:pStyle w:val="ListBullet"/>
      </w:pPr>
      <w:r>
        <w:rPr>
          <w:b w:val="0"/>
        </w:rPr>
        <w:t>§ 7 UWG (Unzumutbare Belästigungen): https://www.gesetze-im-internet.de/uwg_2004/__7.html</w:t>
      </w:r>
    </w:p>
    <w:p>
      <w:pPr>
        <w:pStyle w:val="ListBullet"/>
      </w:pPr>
      <w:r>
        <w:rPr>
          <w:b w:val="0"/>
        </w:rPr>
        <w:t>§ 8 UWG: https://www.gesetze-im-internet.de/uwg_2004/__8.html · § 13 UWG: https://www.gesetze-im-internet.de/uwg_2004/__13.html · § 13a UWG: https://www.gesetze-im-internet.de/uwg_2004/__13a.html · § 20 UWG: https://www.gesetze-im-internet.de/uwg_2004/__20.html</w:t>
      </w:r>
    </w:p>
    <w:p>
      <w:pPr>
        <w:pStyle w:val="ListBullet"/>
      </w:pPr>
      <w:r>
        <w:rPr>
          <w:b w:val="0"/>
        </w:rPr>
        <w:t>§ 15 Abs. 2 TDDDG (Rufnummernunterdrückung): https://www.gesetze-im-internet.de/ttdsg/__15.html</w:t>
      </w:r>
    </w:p>
    <w:p>
      <w:pPr>
        <w:pStyle w:val="ListBullet"/>
      </w:pPr>
      <w:r>
        <w:rPr>
          <w:b w:val="0"/>
        </w:rPr>
        <w:t>Art. 6 DSGVO: https://dsgvo-gesetz.de/art-6-dsgvo/ · Art. 14 DSGVO: https://dsgvo-gesetz.de/art-14-dsgvo/ · Art. 21 DSGVO: https://dsgvo-gesetz.de/art-21-dsgvo/ · Art. 83 DSGVO: https://dsgvo-gesetz.de/art-83-dsgvo/ · Erwägungsgrund 47: https://dsgvo-gesetz.de/erwaegungsgruende/nr-47/</w:t>
      </w:r>
    </w:p>
    <w:p>
      <w:pPr>
        <w:pStyle w:val="ListBullet"/>
      </w:pPr>
      <w:r>
        <w:rPr>
          <w:b w:val="0"/>
        </w:rPr>
        <w:t>BGH, Urteil vom 16.11.2006, I ZR 191/03: https://lexetius.com/2006,4068</w:t>
      </w:r>
    </w:p>
    <w:p>
      <w:pPr>
        <w:pStyle w:val="ListBullet"/>
      </w:pPr>
      <w:r>
        <w:rPr>
          <w:b w:val="0"/>
        </w:rPr>
        <w:t>BGH, Urteil vom 20.09.2007, I ZR 88/05: https://rewis.io/urteile/urteil/l93-19-09-2007-i-zr-8805/</w:t>
      </w:r>
    </w:p>
    <w:p>
      <w:pPr>
        <w:pStyle w:val="ListBullet"/>
      </w:pPr>
      <w:r>
        <w:rPr>
          <w:b w:val="0"/>
        </w:rPr>
        <w:t>BGH, Beschluss vom 20.05.2009, I ZR 218/07 (E-Mail-Werbung II): https://lexetius.com/2009,2183</w:t>
      </w:r>
    </w:p>
    <w:p>
      <w:pPr>
        <w:pStyle w:val="ListBullet"/>
      </w:pPr>
      <w:r>
        <w:rPr>
          <w:b w:val="0"/>
        </w:rPr>
        <w:t>BGH, Urteil vom 10.02.2011, I ZR 164/09 (Dokumentation der Einwilligung): https://rewis.io/urteile/urteil/lul-09-02-2011-i-zr-16409/</w:t>
      </w:r>
    </w:p>
    <w:p>
      <w:pPr>
        <w:pStyle w:val="ListBullet"/>
      </w:pPr>
      <w:r>
        <w:rPr>
          <w:b w:val="0"/>
        </w:rPr>
        <w:t>BGH, Urteil vom 13.01.2022, I ZR 25/19 (Inbox-Werbung II), Bericht Händlerbund: https://www.haendlerbund.de/de/news/aktuelles/rechtliches/4173-bgh-e-mail-werbeanzeige</w:t>
      </w:r>
    </w:p>
    <w:p>
      <w:pPr>
        <w:pStyle w:val="ListBullet"/>
      </w:pPr>
      <w:r>
        <w:rPr>
          <w:b w:val="0"/>
        </w:rPr>
        <w:t>BGH, Urteil vom 28.01.2025, VI ZR 109/23 (kein automatischer DSGVO-Schadensersatz), Bericht vzbv: https://www.vzbv.de/urteile/zum-dsgvo-schadensersatz-fuer-werbe-e-mails</w:t>
      </w:r>
    </w:p>
    <w:p>
      <w:pPr>
        <w:pStyle w:val="ListBullet"/>
      </w:pPr>
      <w:r>
        <w:rPr>
          <w:b w:val="0"/>
        </w:rPr>
        <w:t>BVerwG, Urteil vom 29.01.2025, 6 C 3.23, Pressemitteilung 5/2025: https://www.bverwg.de/pm/2025/5</w:t>
      </w:r>
    </w:p>
    <w:p>
      <w:pPr>
        <w:pStyle w:val="ListBullet"/>
      </w:pPr>
      <w:r>
        <w:rPr>
          <w:b w:val="0"/>
        </w:rPr>
        <w:t>OLG Hamm, Hinweisbeschluss vom 03.05.2023, 18 U 154/22: https://nrwe.justiz.nrw.de/olgs/hamm/j2023/18_U_154_22_Beschluss_20230503.html</w:t>
      </w:r>
    </w:p>
    <w:p>
      <w:pPr>
        <w:pStyle w:val="ListBullet"/>
      </w:pPr>
      <w:r>
        <w:rPr>
          <w:b w:val="0"/>
        </w:rPr>
        <w:t>OLG Braunschweig, Beschluss vom 10.02.2014, 2 W 11/14, Bericht Kanzlei Plutte: https://www.ra-plutte.de/streitwert-bei-abmahnung-wegen-unerwuenschter-xing-anfrage/amp/</w:t>
      </w:r>
    </w:p>
    <w:p>
      <w:pPr>
        <w:pStyle w:val="ListBullet"/>
      </w:pPr>
      <w:r>
        <w:rPr>
          <w:b w:val="0"/>
        </w:rPr>
        <w:t>AG Düsseldorf, Urteil vom 20.11.2025, 23 C 120/25, Bericht Kanzlei Weiß &amp; Partner: https://www.ratgeberrecht.eu/aktuell/linkedin-kontakt-rechtfertigt-keine-werbe-e-mails/</w:t>
      </w:r>
    </w:p>
    <w:p>
      <w:pPr>
        <w:pStyle w:val="ListBullet"/>
      </w:pPr>
      <w:r>
        <w:rPr>
          <w:b w:val="0"/>
        </w:rPr>
        <w:t>AG Düsseldorf, Urteil vom 19.01.2026, 290c C 153/25, Bericht IHK Darmstadt: https://www.ihk.de/darmstadt/servicemarken/news/service/kalte-werbung-per-e-mail-gericht-zieht-klare-grenze-7046700</w:t>
      </w:r>
    </w:p>
    <w:p>
      <w:pPr>
        <w:pStyle w:val="ListBullet"/>
      </w:pPr>
      <w:r>
        <w:rPr>
          <w:b w:val="0"/>
        </w:rPr>
        <w:t>EuGH, Urteil vom 13.11.2025, C-654/23, Bericht IHK Hanau: https://www.ihk.de/hanau/recht/aktuelles/neuer-inhalt04-april/urteil-des-europaeischen-gerichtshofs-zur-bestandskundenwerbung-7031490</w:t>
      </w:r>
    </w:p>
    <w:p>
      <w:pPr>
        <w:pStyle w:val="ListBullet"/>
      </w:pPr>
      <w:r>
        <w:rPr>
          <w:b w:val="0"/>
        </w:rPr>
        <w:t>Merkblatt IHK Düsseldorf „Werbung per Telefon, Fax und E-Mail“ (Stand Juli 2023): https://www.ihk.de/duesseldorf/recht-und-steuern/recht/merkblaetter-von-a-bis-z/werbung-per-telefon-fax-und-e-mail-5852168</w:t>
      </w:r>
    </w:p>
    <w:p>
      <w:pPr>
        <w:pStyle w:val="ListBullet"/>
      </w:pPr>
      <w:r>
        <w:rPr>
          <w:b w:val="0"/>
        </w:rPr>
        <w:t>Bundesnetzagentur, Pressemitteilung vom 26.01.2026: https://www.bundesnetzagentur.de/SharedDocs/Pressemitteilungen/DE/2026/20260126_UEW.html</w:t>
      </w:r>
    </w:p>
    <w:p>
      <w:r>
        <w:rPr>
          <w:b w:val="0"/>
        </w:rPr>
        <w:t>Ausführlich im Artikel: https://saleswise.io/blog/kaltakquise-b2b-erlaubt/ · Telefonakquise Schritt für Schritt: https://saleswise.io/blog/telefonakquise-b2b/ · Gekaufte Listen und ihre Grenzen: https://saleswise.io/blog/b2b-leads-kaufen/</w:t>
      </w:r>
    </w:p>
    <w:p>
      <w:r>
        <w:rPr>
          <w:b w:val="0"/>
        </w:rPr>
        <w:t>Wie SalesWise es handhabt: nur geschäftliche Kontakte mit Bezug zum Angebot, Abmeldung in jeder Nachricht, Sperrliste ab dem ersten Widerspruch, Personalisierung aus Unternehmensdaten statt aus Privatprofilen, rechtlicher Rahmen und Restrisiko schriftlich vor dem Start. Wenn du wissen willst, ob dein Angebot und deine Zielkunden zu dieser Art der Ansprache passen: Der Erstgespräch-Check dauert 30 Minuten und ist kostenlos: https://saleswise.io/#check</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26987"/>
        <w:sz w:val="16"/>
      </w:rPr>
      <w:t>saleswise.io · Christoph Weingärtner, Neukunden-System 90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61C5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B2470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61C5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Kaltakquise B2B: Rechtslage je Kanal und Checkliste</dc:title>
  <dc:subject/>
  <dc:creator>Christoph Weingärtner, saleswise.io</dc:creator>
  <cp:keywords/>
  <dc:description>generated by python-docx</dc:description>
  <cp:lastModifiedBy/>
  <cp:revision>1</cp:revision>
  <dcterms:created xsi:type="dcterms:W3CDTF">2013-12-23T23:15:00Z</dcterms:created>
  <dcterms:modified xsi:type="dcterms:W3CDTF">2013-12-23T23:15:00Z</dcterms:modified>
  <cp:category/>
</cp:coreProperties>
</file>